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235.393265pt;width:595.3pt;height:606.5pt;mso-position-horizontal-relative:page;mso-position-vertical-relative:page;z-index:-255284224" coordorigin="0,4708" coordsize="11906,12130">
            <v:rect style="position:absolute;left:0;top:4707;width:11906;height:7637" filled="true" fillcolor="#0074bc" stroked="false">
              <v:fill type="solid"/>
            </v:rect>
            <v:rect style="position:absolute;left:0;top:12344;width:11906;height:4494" filled="true" fillcolor="#0b134e" stroked="false">
              <v:fill type="solid"/>
            </v:rect>
            <v:shape style="position:absolute;left:660;top:12864;width:5113;height:1282" coordorigin="660,12865" coordsize="5113,1282" path="m1035,13402l1032,13400,1033,13401,1035,13402m1744,13611l1557,13610,1553,13610,1523,13608,1503,13597,1492,13569,1483,13513,1471,13421,1449,13283,1428,13355,1412,13443,1396,13528,1378,13590,1352,13610,1337,13596,1320,13571,1304,13542,1293,13521,1278,13538,1262,13565,1247,13592,1236,13614,1204,13672,1180,13699,1159,13693,1135,13650,1101,13566,1051,13438,1038,13408,1033,13401,1029,13397,1007,13447,952,13561,933,13607,803,13611,829,13639,880,13686,935,13737,975,13774,990,13788,1005,13800,1020,13812,1035,13826,1270,14039,1626,13723,1651,13699,1654,13697,1691,13663,1725,13632,1744,13611m1891,13250l1883,13184,1865,13123,1864,13119,1827,13044,1822,13039,1780,12986,1726,12942,1668,12912,1607,12895,1545,12891,1486,12897,1430,12913,1380,12939,1339,12973,1293,13022,1270,13039,1252,13027,1219,12988,1167,12944,1103,12913,1033,12895,962,12893,894,12906,825,12937,768,12980,724,13032,691,13092,670,13158,660,13228,661,13300,672,13371,693,13440,723,13505,732,13520,742,13535,751,13549,759,13564,903,13564,921,13519,945,13467,970,13413,992,13365,1017,13319,1037,13309,1056,13330,1078,13379,1176,13621,1213,13563,1243,13502,1271,13457,1302,13452,1311,13462,1324,13483,1336,13504,1343,13518,1352,13498,1360,13469,1363,13452,1366,13439,1371,13414,1393,13309,1427,13146,1433,13130,1440,13123,1451,13123,1469,13127,1478,13164,1492,13238,1507,13333,1522,13431,1534,13514,1541,13564,1788,13564,1836,13480,1857,13436,1875,13381,1888,13315,1891,13250m5772,14085l5766,14071,5703,13931,5683,13885,5632,13905,5587,13920,5546,13929,5511,13931,5488,13930,5458,13925,5419,13916,5387,13908,5326,13893,5312,13890,5303,13888,5291,13887,5278,13886,5264,13885,5250,13885,5216,13886,5186,13891,5158,13898,5133,13908,5169,13865,5198,13825,5221,13790,5237,13760,5248,13731,5256,13701,5261,13669,5262,13637,5262,13624,5262,13612,5260,13599,5484,13599,5484,13413,5221,13413,5213,13388,5205,13362,5198,13335,5192,13306,5186,13278,5182,13253,5180,13231,5179,13212,5182,13179,5191,13149,5205,13122,5224,13098,5248,13079,5274,13064,5304,13056,5336,13053,5366,13056,5394,13063,5419,13076,5441,13093,5461,13116,5477,13146,5490,13182,5499,13224,5728,13191,5712,13116,5687,13053,5686,13051,5651,12995,5607,12949,5553,12912,5491,12886,5420,12870,5341,12865,5288,12867,5237,12875,5187,12889,5140,12908,5097,12932,5059,12962,5026,12996,4998,13035,4976,13078,4960,13121,4951,13165,4948,13211,4950,13262,4956,13312,4967,13363,4982,13413,4849,13413,4849,13599,5026,13599,5027,13612,5028,13624,5029,13636,5029,13648,5026,13683,5018,13720,5005,13757,4987,13795,4963,13833,4932,13870,4894,13906,4849,13941,4939,14146,4992,14113,5045,14090,5098,14076,5149,14071,5184,14074,5227,14081,5278,14092,5397,14124,5451,14135,5498,14142,5539,14144,5569,14143,5599,14140,5630,14135,5662,14128,5692,14119,5721,14109,5748,14098,5772,14085e" filled="true" fillcolor="#ffffff" stroked="false">
              <v:path arrowok="t"/>
              <v:fill opacity="19660f" type="solid"/>
            </v:shape>
            <v:line style="position:absolute" from="7135,12841" to="7302,12841" stroked="true" strokeweight="3.186pt" strokecolor="#ffffff">
              <v:stroke dashstyle="solid"/>
            </v:line>
            <v:line style="position:absolute" from="7326,12841" to="7493,12841" stroked="true" strokeweight="3.186pt" strokecolor="#ffffff">
              <v:stroke dashstyle="solid"/>
            </v:line>
            <v:line style="position:absolute" from="7515,12841" to="7682,12841" stroked="true" strokeweight="3.186pt" strokecolor="#ffffff">
              <v:stroke dashstyle="solid"/>
            </v:line>
            <v:shape style="position:absolute;left:2520;top:12835;width:8624;height:3551" coordorigin="2520,12835" coordsize="8624,3551" path="m2963,15185l2946,15158,2933,15142,2926,15134,2902,15113,2872,15098,2857,15104,2855,15110,2829,15125,2819,15130,2806,15134,2784,15140,2760,15142,2736,15142,2712,15138,2669,15121,2646,15105,2625,15101,2589,15123,2567,15145,2546,15175,2530,15211,2523,15251,2521,15295,2520,15347,2521,15399,2523,15444,2582,15456,2675,15463,2776,15465,2856,15465,2860,15418,2860,15379,2864,15339,2880,15293,2903,15250,2924,15224,2943,15206,2963,15185m3441,15471l3439,15396,3432,15344,3414,15297,3386,15256,3386,15255,3351,15223,3310,15201,3298,15208,3284,15218,3269,15229,3252,15238,3185,15255,3129,15249,3081,15228,3039,15201,3000,15226,2964,15256,2934,15295,2914,15348,2909,15400,2907,15474,2907,15550,2909,15607,2959,15619,3036,15628,3129,15632,3226,15633,3318,15629,3392,15620,3439,15606,3441,15548,3441,15471m3833,15376l3831,15294,3816,15226,3783,15170,3783,15169,3723,15123,3695,15139,3654,15160,3600,15170,3532,15155,3516,15146,3503,15137,3490,15130,3475,15124,3452,15142,3433,15158,3415,15174,3399,15195,3455,15267,3480,15322,3487,15371,3487,15424,3492,15491,3579,15491,3663,15490,3746,15484,3830,15473,3833,15376m5136,15809l5133,15772,5123,15743,5099,15725,5074,15722,5074,15722,5067,15721,5031,15722,5022,15721,4994,15720,4995,15648,4996,15573,4991,15501,4978,15434,4952,15376,4943,15365,4905,15319,4869,15291,4869,15591,4869,15667,4867,15721,4785,15721,4785,15955,4780,16000,4749,16033,4776,16220,4635,16220,4662,16034,4640,16011,4627,15983,4627,15952,4642,15918,4646,15915,4648,15911,4648,15908,4647,15908,4648,15907,4648,15908,4651,15908,4651,15907,4651,15905,4650,15905,4651,15904,4651,15905,4654,15906,4655,15904,4656,15903,4657,15902,4662,15898,4666,15896,4727,15889,4767,15913,4785,15955,4785,15721,4546,15721,4544,15667,4544,15628,4544,15591,4547,15519,4555,15470,4593,15411,4647,15376,4708,15365,4770,15378,4822,15414,4858,15473,4866,15520,4869,15591,4869,15291,4848,15276,4781,15248,4706,15238,4623,15250,4554,15282,4499,15327,4460,15378,4430,15453,4418,15538,4417,15628,4419,15720,4381,15722,4344,15721,4312,15726,4289,15745,4279,15774,4276,15812,4276,15852,4277,15885,4277,15918,4277,16000,4276,16034,4276,16125,4277,16228,4278,16308,4282,16347,4300,16373,4326,16384,4359,16386,4399,16385,5016,16385,5056,16385,5066,16385,5089,16383,5114,16372,5132,16345,5134,16306,5136,16228,5136,16220,5136,16122,5136,16034,5135,15889,5135,15885,5136,15850,5136,15809m10296,13173l10251,13173,10212,13177,10174,13187,10133,13211,10100,13239,10071,13277,10051,13321,10043,13369,10043,13423,10127,13423,10127,13403,10128,13379,10132,13357,10138,13335,10149,13315,10178,13283,10213,13265,10253,13259,10296,13257,10296,13173m10462,13855l10446,13775,10412,13701,10398,13679,10388,13663,10362,13631,10332,13601,10318,13591,10296,13575,10293,13531,10284,13495,10263,13465,10228,13437,10204,13427,10179,13423,10127,13423,10127,13541,10125,13561,10117,13577,10104,13587,10085,13591,10067,13589,10054,13579,10046,13565,10043,13547,10043,13423,10004,13423,9968,13427,9935,13441,9903,13469,9887,13493,9879,13517,9875,13545,9874,13575,9845,13591,9813,13625,9782,13661,9760,13693,9738,13735,9722,13781,9711,13829,9706,13877,9706,13913,9709,13949,9716,13985,9727,14019,9741,14053,9749,14067,9757,14083,9765,14097,9774,14111,9784,14123,9794,14135,9804,14147,9815,14159,9823,14167,9829,14175,9837,14181,9869,14207,9906,14229,9945,14247,9983,14261,10013,14269,10037,14273,10091,14273,10117,14267,10142,14249,10160,14225,10166,14199,10166,14181,10163,14163,10157,14149,10145,14133,10119,14113,10094,14105,10067,14103,10036,14099,9972,14071,9922,14027,9889,13969,9875,13903,9881,13835,9910,13771,9919,13759,9928,13749,9937,13739,9948,13729,9959,13721,9969,13713,9979,13707,9993,13699,10062,13679,10131,13685,10193,13711,10245,13755,10280,13813,10293,13883,10291,13917,10286,13947,10277,13973,10263,14003,10250,14021,10235,14039,10218,14055,10200,14069,10212,14085,10222,14099,10232,14115,10242,14139,10247,14163,10250,14189,10248,14215,10242,14237,10262,14231,10288,14215,10313,14197,10329,14183,10337,14175,10338,14175,10356,14161,10356,14157,10364,14149,10411,14085,10444,14013,10461,13935,10462,13855m11144,13209l11137,13183,11119,13159,11095,13141,11068,13133,11050,13135,11034,13137,11018,13143,11003,13155,10980,13187,10974,13219,10969,13261,10948,13317,10918,13361,10874,13395,10820,13417,10756,13425,10679,13409,10614,13365,10568,13301,10551,13223,10554,13185,10563,13147,10578,13113,10601,13083,10617,13067,10632,13051,10651,13039,10672,13027,10722,13011,10774,13007,10825,13015,10873,13037,10883,13045,10892,13051,10900,13057,10909,13065,10917,13073,10925,13083,10932,13091,10939,13099,10947,13095,10954,13089,10962,13081,10971,13075,11003,13061,11040,13051,11076,13051,11107,13057,11106,13051,11104,13047,11098,13033,11091,13023,11085,13013,11081,13007,11071,12993,11056,12973,11040,12955,11022,12937,10975,12899,10914,12867,10846,12845,10776,12835,10741,12837,10712,12839,10683,12843,10650,12853,10639,12857,10619,12865,10608,12871,10591,12879,10570,12891,10549,12903,10534,12913,10509,12935,10488,12953,10468,12975,10447,13005,10405,13007,10369,13017,10338,13037,10310,13073,10300,13095,10296,13121,10296,13135,10296,13159,10296,13173,10419,13173,10453,13187,10464,13215,10453,13245,10419,13257,10296,13257,10296,13297,10299,13333,10312,13367,10341,13397,10350,13405,10349,13405,10370,13415,10375,13417,10385,13421,10400,13425,10447,13425,10460,13447,10483,13473,10509,13499,10532,13519,10541,13525,10550,13531,10559,13537,10569,13543,10634,13573,10702,13591,10773,13597,10842,13589,10909,13567,10971,13535,10990,13521,10994,13519,11005,13511,11006,13509,11011,13503,11026,13489,11038,13479,11051,13465,11068,13443,11102,13389,11126,13333,11140,13275,11144,13209e" filled="true" fillcolor="#ffffff" stroked="false">
              <v:path arrowok="t"/>
              <v:fill opacity="19660f" type="solid"/>
            </v:shape>
            <v:shape style="position:absolute;left:3032;top:14920;width:282;height:281" type="#_x0000_t75" stroked="false">
              <v:imagedata r:id="rId5" o:title=""/>
            </v:shape>
            <v:shape style="position:absolute;left:2630;top:14850;width:241;height:239" type="#_x0000_t75" stroked="false">
              <v:imagedata r:id="rId6" o:title=""/>
            </v:shape>
            <v:shape style="position:absolute;left:3480;top:14875;width:242;height:242" type="#_x0000_t75" stroked="false">
              <v:imagedata r:id="rId7" o:title=""/>
            </v:shape>
            <v:shape style="position:absolute;left:2528;top:15614;width:1133;height:642" coordorigin="2528,15615" coordsize="1133,642" path="m2831,15629l2831,15626,2829,15629,2831,15629m2832,15629l2831,15629,2831,15629,2832,15629m2832,15622l2832,15622,2832,15622,2832,15622m2834,15620l2834,15620,2834,15620,2834,15620m2834,15622l2832,15622,2833,15624,2834,15622m2836,15621l2834,15620,2834,15622,2836,15621m2841,15616l2838,15618,2838,15619,2836,15621,2841,15616m2844,15615l2841,15616,2844,15616,2844,15615m2845,15617l2844,15616,2844,15618,2845,15617m3660,16193l3658,16179,3654,16164,3650,16149,3646,16135,3634,16096,3620,16056,3605,16017,3589,15979,3559,15919,3529,15871,3524,15864,3483,15815,3433,15772,3427,15768,3422,15765,3415,15761,3358,15743,3274,15732,3188,15725,3126,15722,3078,15721,3017,15722,2956,15725,2910,15734,2902,15737,2893,15741,2888,15746,2875,15761,2871,15779,2874,15797,2883,15814,2899,15829,2919,15836,2944,15839,3073,15842,3099,15843,3112,15843,3125,15844,3141,15849,3147,15857,3144,15865,3134,15870,3112,15871,3083,15870,3030,15867,2984,15866,2932,15862,2881,15855,2838,15841,2804,15826,2771,15810,2758,15804,2705,15779,2680,15766,2667,15761,2648,15751,2637,15745,2622,15738,2607,15732,2597,15728,2569,15727,2546,15737,2532,15755,2528,15776,2534,15793,2545,15807,2560,15818,2574,15827,2579,15830,2587,15836,2599,15842,2604,15846,2611,15849,2707,15905,2714,15908,2719,15912,2729,15916,2729,15917,2742,15925,2751,15929,2764,15936,2853,15983,2876,15993,2899,16002,2923,16010,2948,16017,2982,16026,3084,16049,3222,16079,3267,16090,3279,16093,3289,16096,3298,16101,3307,16110,3320,16130,3333,16154,3343,16180,3352,16203,3369,16256,3660,16193e" filled="true" fillcolor="#ffffff" stroked="false">
              <v:path arrowok="t"/>
              <v:fill opacity="19660f" type="solid"/>
            </v:shape>
            <v:shape style="position:absolute;left:5651;top:12894;width:3988;height:3805" type="#_x0000_t75" stroked="false">
              <v:imagedata r:id="rId8" o:title=""/>
            </v:shape>
            <v:shape style="position:absolute;left:9864;top:14966;width:1524;height:1373" coordorigin="9865,14967" coordsize="1524,1373" path="m11264,15852l11263,15775,11262,15768,11258,15684,11251,15596,11241,15510,11227,15425,11209,15345,11186,15270,11159,15202,11151,15189,11119,15135,11071,15080,11012,15035,10993,15025,10964,15008,10964,15525,10937,15565,10915,15584,10898,15594,10885,15607,10876,15632,10870,15682,10870,15684,10868,15768,10783,15770,10734,15775,10709,15783,10697,15795,10687,15812,10667,15834,10626,15863,10584,15832,10565,15808,10553,15790,10530,15779,10480,15771,10384,15768,10382,15682,10377,15632,10367,15606,10354,15594,10337,15584,10315,15564,10289,15525,10331,15478,10357,15455,10372,15439,10379,15416,10382,15370,10386,15285,10473,15283,10521,15278,10544,15268,10559,15252,10581,15226,10626,15189,10672,15226,10694,15252,10709,15269,10732,15278,10780,15283,10867,15285,10870,15370,10874,15416,10881,15440,10896,15455,10922,15479,10964,15525,10964,15008,10944,14997,10894,14975,10865,14967,10847,14970,10810,14994,10775,15009,10716,15020,10626,15025,10535,15020,10476,15009,10441,14994,10420,14980,10406,14970,10388,14967,10359,14975,10309,14997,10241,15035,10182,15080,10133,15135,10094,15202,10066,15271,10043,15346,10025,15426,10011,15510,10001,15595,9995,15682,9991,15768,9989,15852,9989,15932,10039,15941,10101,15949,10174,15956,10254,15961,10341,15965,10434,15968,10529,15970,10626,15971,10724,15970,10819,15968,10912,15966,10999,15961,11079,15956,11151,15949,11213,15942,11264,15932,11264,15863,11264,15852m11388,16130l11374,16104,11346,16066,11316,16030,11309,16023,11297,16009,11279,15993,11263,15988,11244,15990,11211,15994,11134,16002,11057,16009,10980,16014,10903,16018,10825,16021,10748,16022,10670,16023,10592,16022,10515,16020,10437,16017,10282,16010,10051,15994,9975,15988,9914,16057,9881,16099,9865,16130,9920,16151,10000,16174,10242,16234,10309,16254,10487,16309,10569,16331,10626,16340,10653,16334,10713,16320,11114,16211,11300,16158,11360,16140,11388,16130e" filled="true" fillcolor="#ffffff" stroked="false">
              <v:path arrowok="t"/>
              <v:fill opacity="19660f" type="solid"/>
            </v:shape>
            <v:shape style="position:absolute;left:10441;top:15343;width:373;height:368" type="#_x0000_t75" stroked="false">
              <v:imagedata r:id="rId9" o:title=""/>
            </v:shape>
            <v:shape style="position:absolute;left:10433;top:14857;width:386;height:136" type="#_x0000_t75" stroked="false">
              <v:imagedata r:id="rId10" o:title=""/>
            </v:shape>
            <v:shape style="position:absolute;left:769;top:12916;width:3469;height:3282" coordorigin="769,12917" coordsize="3469,3282" path="m1559,15885l1539,15860,1510,15853,1486,15842,1477,15828,1471,15810,1468,15792,1470,15784,1472,15776,1481,15763,1491,15750,1496,15735,1492,15717,1484,15707,1479,15702,1470,15693,1456,15681,1444,15674,1430,15676,1415,15685,1400,15695,1387,15702,1382,15702,1382,15924,1364,15970,1332,16004,1294,16021,1240,16022,1194,16005,1161,15974,1144,15935,1143,15880,1160,15836,1191,15805,1232,15786,1282,15784,1327,15801,1360,15832,1380,15870,1382,15924,1382,15702,1372,15701,1368,15699,1354,15695,1337,15686,1326,15678,1320,15666,1317,15652,1314,15637,1311,15626,1290,15611,1261,15609,1235,15614,1224,15617,1213,15642,1210,15661,1201,15678,1173,15694,1143,15699,1124,15692,1108,15679,1085,15670,1072,15679,1058,15691,1045,15703,1035,15713,1033,15739,1048,15766,1058,15798,1038,15838,1025,15846,1008,15852,989,15855,972,15859,969,15875,967,15896,966,15918,969,15936,979,15948,994,15953,1012,15956,1030,15961,1040,15971,1049,15986,1055,16004,1056,16021,1045,16048,1031,16067,1032,16089,1066,16126,1092,16135,1114,16121,1141,16109,1186,16122,1199,16132,1206,16146,1210,16162,1211,16182,1211,16182,1224,16193,1224,16193,1211,16182,1216,16193,1213,16187,1215,16195,1222,16196,1223,16195,1230,16198,1227,16195,1230,16198,1271,16197,1293,16195,1303,16191,1309,16179,1311,16173,1312,16165,1313,16158,1326,16130,1348,16115,1372,16110,1391,16114,1405,16124,1419,16134,1434,16138,1450,16132,1471,16110,1472,16109,1490,16090,1486,16064,1469,16037,1471,16022,1473,15994,1489,15969,1506,15960,1526,15957,1554,15949,1559,15885m1725,15266l1723,15235,1713,15226,1697,15215,1664,15195,1646,15183,1637,15170,1633,15153,1632,15125,1631,15101,1631,15097,1633,15079,1640,15064,1655,15050,1694,15024,1716,15007,1719,14984,1703,14939,1700,14932,1688,14907,1680,14890,1676,14885,1662,14870,1635,14871,1586,14882,1561,14885,1545,14882,1532,14873,1518,14860,1506,14849,1492,14836,1480,14822,1474,14805,1478,14757,1480,14750,1486,14724,1477,14698,1449,14683,1449,15166,1423,15237,1372,15295,1301,15330,1216,15335,1144,15309,1085,15259,1050,15188,1045,15101,1071,15030,1123,14972,1195,14937,1282,14932,1352,14959,1409,15010,1444,15081,1449,15166,1449,14683,1427,14672,1379,14656,1353,14655,1334,14673,1310,14713,1298,14731,1287,14741,1272,14746,1245,14748,1217,14750,1196,14749,1180,14744,1164,14729,1154,14715,1142,14697,1132,14681,1124,14671,1092,14664,1049,14678,1008,14699,983,14718,982,14740,985,14761,991,14782,996,14803,997,14827,990,14843,980,14856,968,14868,956,14881,944,14894,928,14904,908,14907,887,14904,863,14899,839,14896,820,14897,799,14919,780,14960,769,15004,771,15032,782,15044,797,15054,813,15063,829,15073,848,15085,857,15097,860,15113,862,15141,858,15196,842,15219,816,15232,783,15259,778,15291,793,15336,815,15377,833,15397,851,15399,873,15395,913,15385,937,15384,955,15390,968,15401,981,15413,995,15425,1007,15437,1015,15452,1018,15474,1010,15522,1005,15552,1021,15573,1074,15597,1092,15604,1111,15611,1131,15613,1147,15606,1156,15595,1167,15579,1177,15561,1186,15546,1198,15530,1211,15522,1228,15519,1254,15518,1306,15521,1329,15536,1343,15562,1370,15596,1405,15602,1450,15586,1489,15565,1506,15554,1513,15525,1511,15518,1502,15490,1497,15449,1520,15404,1531,15392,1539,15384,1545,15378,1560,15367,1578,15361,1600,15363,1625,15368,1649,15372,1668,15373,1681,15361,1690,15353,1699,15335,1712,15311,1725,15266m1914,15684l1914,15669,1904,15664,1891,15658,1880,15652,1872,15645,1862,15617,1871,15596,1878,15587,1884,15579,1886,15561,1881,15552,1873,15543,1870,15539,1865,15534,1858,15527,1843,15530,1833,15534,1824,15538,1813,15539,1795,15533,1795,15661,1785,15710,1742,15745,1688,15749,1648,15720,1629,15674,1640,15625,1686,15589,1740,15587,1778,15616,1795,15661,1795,15533,1788,15531,1778,15516,1777,15514,1773,15496,1771,15483,1762,15472,1747,15466,1729,15465,1712,15465,1706,15483,1700,15497,1690,15508,1672,15515,1650,15516,1638,15509,1628,15499,1611,15491,1601,15497,1590,15505,1580,15514,1572,15521,1575,15540,1582,15553,1585,15566,1578,15585,1565,15600,1554,15606,1539,15608,1518,15611,1514,15624,1511,15637,1510,15651,1511,15665,1526,15673,1540,15680,1551,15689,1559,15704,1558,15735,1544,15750,1538,15768,1564,15809,1583,15804,1597,15798,1610,15795,1630,15801,1647,15818,1651,15835,1652,15850,1663,15863,1668,15865,1704,15870,1719,15855,1729,15834,1751,15820,1771,15819,1785,15825,1796,15835,1808,15844,1822,15838,1834,15830,1844,15821,1845,15819,1852,15811,1847,15795,1847,15794,1841,15780,1840,15766,1848,15749,1848,15748,1859,15736,1871,15730,1906,15724,1910,15712,1913,15698,1914,15684m3536,14040l3525,13970,3316,13968,3301,14041,3422,14041,3487,14041,3536,14040m4014,13916l4002,13896,3988,13877,3976,13858,3964,13838,3951,13820,3939,13803,3900,13802,3882,13801,3809,13800,3673,13802,2935,13801,2910,13801,2896,13806,2885,13821,2866,13852,2855,13867,2841,13890,2829,13912,2824,13927,2843,13937,2869,13940,2940,13938,3987,13938,4013,13932,4014,13916m4032,13024l4031,12982,4030,12971,4021,12939,4000,12923,3973,12919,3965,12918,3965,12982,3964,13620,2873,13620,2874,12983,3965,12982,3965,12918,3963,12918,3825,12919,3185,12917,2909,12919,2857,12921,2835,12924,2816,12942,2809,12966,2809,12994,2810,13026,2810,13082,2808,13256,2808,13355,2808,13539,2809,13606,2810,13645,2818,13672,2835,13685,2860,13688,3005,13688,3498,13689,3866,13688,3945,13686,3988,13685,4006,13683,4023,13666,4029,13642,4029,13620,4029,13613,4028,13583,4028,13211,4030,13102,4032,13024m4238,14080l4231,14063,4214,14022,4159,13940,4159,14063,2680,14063,2727,13989,2739,13972,2752,13954,2764,13935,2788,13898,2800,13880,2813,13863,2825,13844,2837,13826,2861,13788,2874,13769,3965,13768,4111,13988,4123,14005,4136,14025,4149,14045,4159,14063,4159,13940,4059,13792,4048,13775,4043,13768,4032,13751,4017,13729,4006,13716,3982,13705,3958,13702,3952,13701,3919,13701,3887,13702,3305,13700,2928,13702,2879,13703,2857,13704,2828,13726,2795,13767,2764,13812,2742,13847,2716,13886,2691,13924,2666,13963,2639,14001,2626,14019,2612,14041,2602,14066,2602,14091,2615,14112,2635,14124,2662,14128,2692,14129,3987,14129,4115,14133,4177,14129,4221,14113,4238,14080e" filled="true" fillcolor="#ffffff" stroked="false">
              <v:path arrowok="t"/>
              <v:fill opacity="19660f" type="solid"/>
            </v:shape>
            <v:shape style="position:absolute;left:1593;top:5759;width:8711;height:5901" type="#_x0000_t75" stroked="false">
              <v:imagedata r:id="rId11" o:title=""/>
            </v:shape>
            <w10:wrap type="none"/>
          </v:group>
        </w:pict>
      </w:r>
      <w:r>
        <w:rPr/>
        <w:pict>
          <v:shape style="position:absolute;margin-left:521.482971pt;margin-top:69.242546pt;width:5.75pt;height:7.6pt;mso-position-horizontal-relative:page;mso-position-vertical-relative:page;z-index:251661312;rotation:11" type="#_x0000_t136" fillcolor="#ffffff" stroked="f">
            <o:extrusion v:ext="view" autorotationcenter="t"/>
            <v:textpath style="font-family:&quot;Swis721 BT&quot;;font-size:7pt;v-text-kern:t;mso-text-shadow:auto;font-weight:bold" string="H"/>
            <w10:wrap type="none"/>
          </v:shape>
        </w:pict>
      </w:r>
      <w:r>
        <w:rPr/>
        <w:pict>
          <v:shape style="position:absolute;margin-left:527.019348pt;margin-top:70.483330pt;width:2.5pt;height:7.6pt;mso-position-horizontal-relative:page;mso-position-vertical-relative:page;z-index:251662336;rotation:22" type="#_x0000_t136" fillcolor="#ffffff" stroked="f">
            <o:extrusion v:ext="view" autorotationcenter="t"/>
            <v:textpath style="font-family:&quot;Swis721 BT&quot;;font-size:7pt;v-text-kern:t;mso-text-shadow:auto;font-weight:bold" string="I"/>
            <w10:wrap type="none"/>
          </v:shape>
        </w:pict>
      </w:r>
      <w:r>
        <w:rPr/>
        <w:pict>
          <v:shape style="position:absolute;margin-left:528.939575pt;margin-top:72.254013pt;width:5.5pt;height:7.6pt;mso-position-horizontal-relative:page;mso-position-vertical-relative:page;z-index:251663360;rotation:31" type="#_x0000_t136" fillcolor="#ffffff" stroked="f">
            <o:extrusion v:ext="view" autorotationcenter="t"/>
            <v:textpath style="font-family:&quot;Swis721 BT&quot;;font-size:7pt;v-text-kern:t;mso-text-shadow:auto;font-weight:bold" string="R"/>
            <w10:wrap type="none"/>
          </v:shape>
        </w:pict>
      </w:r>
      <w:r>
        <w:rPr/>
        <w:pict>
          <v:shape style="position:absolute;margin-left:533.324219pt;margin-top:75.651207pt;width:5.15pt;height:7.6pt;mso-position-horizontal-relative:page;mso-position-vertical-relative:page;z-index:251664384;rotation:44" type="#_x0000_t136" fillcolor="#ffffff" stroked="f">
            <o:extrusion v:ext="view" autorotationcenter="t"/>
            <v:textpath style="font-family:&quot;Swis721 BT&quot;;font-size:7pt;v-text-kern:t;mso-text-shadow:auto;font-weight:bold" string="E"/>
            <w10:wrap type="none"/>
          </v:shape>
        </w:pict>
      </w:r>
      <w:r>
        <w:rPr/>
        <w:pict>
          <v:shape style="position:absolute;margin-left:537.751794pt;margin-top:82.062262pt;width:5.15pt;height:7.6pt;mso-position-horizontal-relative:page;mso-position-vertical-relative:page;z-index:251665408;rotation:64" type="#_x0000_t136" fillcolor="#ffffff" stroked="f">
            <o:extrusion v:ext="view" autorotationcenter="t"/>
            <v:textpath style="font-family:&quot;Swis721 BT&quot;;font-size:7pt;v-text-kern:t;mso-text-shadow:auto;font-weight:bold" string="P"/>
            <w10:wrap type="none"/>
          </v:shape>
        </w:pict>
      </w:r>
      <w:r>
        <w:rPr/>
        <w:pict>
          <v:shape style="position:absolute;margin-left:498.25611pt;margin-top:78.144266pt;width:4.8pt;height:7.6pt;mso-position-horizontal-relative:page;mso-position-vertical-relative:page;z-index:251676672;rotation:307" type="#_x0000_t136" fillcolor="#ffffff" stroked="f">
            <o:extrusion v:ext="view" autorotationcenter="t"/>
            <v:textpath style="font-family:&quot;Swis721 BT&quot;;font-size:7pt;v-text-kern:t;mso-text-shadow:auto;font-weight:bold" string="Y"/>
            <w10:wrap type="none"/>
          </v:shape>
        </w:pict>
      </w:r>
      <w:r>
        <w:rPr/>
        <w:pict>
          <v:shape style="position:absolute;margin-left:500.769196pt;margin-top:74.668594pt;width:6.05pt;height:7.6pt;mso-position-horizontal-relative:page;mso-position-vertical-relative:page;z-index:251677696;rotation:318" type="#_x0000_t136" fillcolor="#ffffff" stroked="f">
            <o:extrusion v:ext="view" autorotationcenter="t"/>
            <v:textpath style="font-family:&quot;Swis721 BT&quot;;font-size:7pt;v-text-kern:t;mso-text-shadow:auto;font-weight:bold" string="O"/>
            <w10:wrap type="none"/>
          </v:shape>
        </w:pict>
      </w:r>
      <w:r>
        <w:rPr/>
        <w:pict>
          <v:shape style="position:absolute;margin-left:505.711609pt;margin-top:71.390076pt;width:5.55pt;height:7.6pt;mso-position-horizontal-relative:page;mso-position-vertical-relative:page;z-index:251678720;rotation:332" type="#_x0000_t136" fillcolor="#ffffff" stroked="f">
            <o:extrusion v:ext="view" autorotationcenter="t"/>
            <v:textpath style="font-family:&quot;Swis721 BT&quot;;font-size:7pt;v-text-kern:t;mso-text-shadow:auto;font-weight:bold" string="R"/>
            <w10:wrap type="none"/>
          </v:shape>
        </w:pict>
      </w:r>
      <w:r>
        <w:rPr/>
        <w:pict>
          <v:shape style="position:absolute;margin-left:510.800446pt;margin-top:69.435776pt;width:5.45pt;height:7.6pt;mso-position-horizontal-relative:page;mso-position-vertical-relative:page;z-index:251679744;rotation:346" type="#_x0000_t136" fillcolor="#ffffff" stroked="f">
            <o:extrusion v:ext="view" autorotationcenter="t"/>
            <v:textpath style="font-family:&quot;Swis721 BT&quot;;font-size:7pt;v-text-kern:t;mso-text-shadow:auto;font-weight:bold" string="K"/>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5"/>
        </w:rPr>
      </w:pPr>
    </w:p>
    <w:p>
      <w:pPr>
        <w:spacing w:before="152"/>
        <w:ind w:left="806" w:right="0" w:firstLine="0"/>
        <w:jc w:val="left"/>
        <w:rPr>
          <w:sz w:val="60"/>
        </w:rPr>
      </w:pPr>
      <w:r>
        <w:rPr/>
        <w:pict>
          <v:group style="position:absolute;margin-left:470.279694pt;margin-top:-159.768036pt;width:98.4pt;height:127pt;mso-position-horizontal-relative:page;mso-position-vertical-relative:paragraph;z-index:251660288" coordorigin="9406,-3195" coordsize="1968,2540">
            <v:shape style="position:absolute;left:9405;top:-3196;width:1968;height:2540" type="#_x0000_t75" stroked="false">
              <v:imagedata r:id="rId12" o:title=""/>
            </v:shape>
            <v:shapetype id="_x0000_t202" o:spt="202" coordsize="21600,21600" path="m,l,21600r21600,l21600,xe">
              <v:stroke joinstyle="miter"/>
              <v:path gradientshapeok="t" o:connecttype="rect"/>
            </v:shapetype>
            <v:shape style="position:absolute;left:10315;top:-2298;width:122;height:183" type="#_x0000_t202" filled="false" stroked="false">
              <v:textbox inset="0,0,0,0">
                <w:txbxContent>
                  <w:p>
                    <w:pPr>
                      <w:spacing w:before="2"/>
                      <w:ind w:left="0" w:right="0" w:firstLine="0"/>
                      <w:jc w:val="left"/>
                      <w:rPr>
                        <w:rFonts w:ascii="Swis721 BT"/>
                        <w:b/>
                        <w:sz w:val="15"/>
                      </w:rPr>
                    </w:pPr>
                    <w:r>
                      <w:rPr>
                        <w:rFonts w:ascii="Swis721 BT"/>
                        <w:b/>
                        <w:color w:val="FFFFFF"/>
                        <w:w w:val="101"/>
                        <w:sz w:val="15"/>
                      </w:rPr>
                      <w:t>S</w:t>
                    </w:r>
                  </w:p>
                </w:txbxContent>
              </v:textbox>
              <w10:wrap type="none"/>
            </v:shape>
            <w10:wrap type="none"/>
          </v:group>
        </w:pict>
      </w:r>
      <w:r>
        <w:rPr/>
        <w:pict>
          <v:shape style="position:absolute;margin-left:538.946655pt;margin-top:-95.391495pt;width:6.1pt;height:7.6pt;mso-position-horizontal-relative:page;mso-position-vertical-relative:paragraph;z-index:251666432;rotation:78" type="#_x0000_t136" fillcolor="#ffffff" stroked="f">
            <o:extrusion v:ext="view" autorotationcenter="t"/>
            <v:textpath style="font-family:&quot;Swis721 BT&quot;;font-size:7pt;v-text-kern:t;mso-text-shadow:auto;font-weight:bold" string="O"/>
            <w10:wrap type="none"/>
          </v:shape>
        </w:pict>
      </w:r>
      <w:r>
        <w:rPr/>
        <w:pict>
          <v:shape style="position:absolute;margin-left:536.954224pt;margin-top:-89.954567pt;width:11.15pt;height:6.45pt;mso-position-horizontal-relative:page;mso-position-vertical-relative:paragraph;z-index:251667456" type="#_x0000_t202" filled="false" stroked="false">
            <v:textbox inset="0,0,0,0" style="layout-flow:vertical">
              <w:txbxContent>
                <w:p>
                  <w:pPr>
                    <w:spacing w:before="22"/>
                    <w:ind w:left="20" w:right="0" w:firstLine="0"/>
                    <w:jc w:val="left"/>
                    <w:rPr>
                      <w:rFonts w:ascii="Swis721 BT"/>
                      <w:b/>
                      <w:sz w:val="15"/>
                    </w:rPr>
                  </w:pPr>
                  <w:r>
                    <w:rPr>
                      <w:rFonts w:ascii="Swis721 BT"/>
                      <w:b/>
                      <w:color w:val="FFFFFF"/>
                      <w:w w:val="101"/>
                      <w:sz w:val="15"/>
                    </w:rPr>
                    <w:t>L</w:t>
                  </w:r>
                </w:p>
              </w:txbxContent>
            </v:textbox>
            <w10:wrap type="none"/>
          </v:shape>
        </w:pict>
      </w:r>
      <w:r>
        <w:rPr/>
        <w:pict>
          <v:shape style="position:absolute;margin-left:541.020190pt;margin-top:-86.988116pt;width:2.450pt;height:7.6pt;mso-position-horizontal-relative:page;mso-position-vertical-relative:paragraph;z-index:251668480;rotation:98" type="#_x0000_t136" fillcolor="#ffffff" stroked="f">
            <o:extrusion v:ext="view" autorotationcenter="t"/>
            <v:textpath style="font-family:&quot;Swis721 BT&quot;;font-size:7pt;v-text-kern:t;mso-text-shadow:auto;font-weight:bold" string="I"/>
            <w10:wrap type="none"/>
          </v:shape>
        </w:pict>
      </w:r>
      <w:r>
        <w:rPr/>
        <w:pict>
          <v:shape style="position:absolute;margin-left:538.560901pt;margin-top:-83.438327pt;width:5.7pt;height:7.6pt;mso-position-horizontal-relative:page;mso-position-vertical-relative:paragraph;z-index:251669504;rotation:107" type="#_x0000_t136" fillcolor="#ffffff" stroked="f">
            <o:extrusion v:ext="view" autorotationcenter="t"/>
            <v:textpath style="font-family:&quot;Swis721 BT&quot;;font-size:7pt;v-text-kern:t;mso-text-shadow:auto;font-weight:bold" string="C"/>
            <w10:wrap type="none"/>
          </v:shape>
        </w:pict>
      </w:r>
      <w:r>
        <w:rPr/>
        <w:pict>
          <v:shape style="position:absolute;margin-left:536.74198pt;margin-top:-78.661543pt;width:5.05pt;height:7.6pt;mso-position-horizontal-relative:page;mso-position-vertical-relative:paragraph;z-index:251670528;rotation:121" type="#_x0000_t136" fillcolor="#ffffff" stroked="f">
            <o:extrusion v:ext="view" autorotationcenter="t"/>
            <v:textpath style="font-family:&quot;Swis721 BT&quot;;font-size:7pt;v-text-kern:t;mso-text-shadow:auto;font-weight:bold" string="E"/>
            <w10:wrap type="none"/>
          </v:shape>
        </w:pict>
      </w:r>
      <w:r>
        <w:rPr/>
        <w:pict>
          <v:shape style="position:absolute;margin-left:496.624896pt;margin-top:-78.515346pt;width:5.7pt;height:7.6pt;mso-position-horizontal-relative:page;mso-position-vertical-relative:paragraph;z-index:251671552;rotation:239" type="#_x0000_t136" fillcolor="#ffffff" stroked="f">
            <o:extrusion v:ext="view" autorotationcenter="t"/>
            <v:textpath style="font-family:&quot;Swis721 BT&quot;;font-size:7pt;v-text-kern:t;mso-text-shadow:auto;font-weight:bold" string="N"/>
            <w10:wrap type="none"/>
          </v:shape>
        </w:pict>
      </w:r>
      <w:r>
        <w:rPr/>
        <w:pict>
          <v:shape style="position:absolute;margin-left:494.14762pt;margin-top:-83.638144pt;width:6.05pt;height:7.6pt;mso-position-horizontal-relative:page;mso-position-vertical-relative:paragraph;z-index:251672576;rotation:253" type="#_x0000_t136" fillcolor="#ffffff" stroked="f">
            <o:extrusion v:ext="view" autorotationcenter="t"/>
            <v:textpath style="font-family:&quot;Swis721 BT&quot;;font-size:7pt;v-text-kern:t;mso-text-shadow:auto;font-weight:bold" string="O"/>
            <w10:wrap type="none"/>
          </v:shape>
        </w:pict>
      </w:r>
      <w:r>
        <w:rPr/>
        <w:pict>
          <v:shape style="position:absolute;margin-left:493.377777pt;margin-top:-89.062073pt;width:5.6pt;height:7.6pt;mso-position-horizontal-relative:page;mso-position-vertical-relative:paragraph;z-index:251673600;rotation:268" type="#_x0000_t136" fillcolor="#ffffff" stroked="f">
            <o:extrusion v:ext="view" autorotationcenter="t"/>
            <v:textpath style="font-family:&quot;Swis721 BT&quot;;font-size:7pt;v-text-kern:t;mso-text-shadow:auto;font-weight:bold" string="R"/>
            <w10:wrap type="none"/>
          </v:shape>
        </w:pict>
      </w:r>
      <w:r>
        <w:rPr/>
        <w:pict>
          <v:shape style="position:absolute;margin-left:494.052795pt;margin-top:-93.711632pt;width:4.6pt;height:7.6pt;mso-position-horizontal-relative:page;mso-position-vertical-relative:paragraph;z-index:251674624;rotation:279" type="#_x0000_t136" fillcolor="#ffffff" stroked="f">
            <o:extrusion v:ext="view" autorotationcenter="t"/>
            <v:textpath style="font-family:&quot;Swis721 BT&quot;;font-size:7pt;v-text-kern:t;mso-text-shadow:auto;font-weight:bold" string="T"/>
            <w10:wrap type="none"/>
          </v:shape>
        </w:pict>
      </w:r>
      <w:r>
        <w:rPr/>
        <w:pict>
          <v:shape style="position:absolute;margin-left:494.627997pt;margin-top:-98.446371pt;width:5.8pt;height:7.6pt;mso-position-horizontal-relative:page;mso-position-vertical-relative:paragraph;z-index:251675648;rotation:291" type="#_x0000_t136" fillcolor="#ffffff" stroked="f">
            <o:extrusion v:ext="view" autorotationcenter="t"/>
            <v:textpath style="font-family:&quot;Swis721 BT&quot;;font-size:7pt;v-text-kern:t;mso-text-shadow:auto;font-weight:bold" string="H"/>
            <w10:wrap type="none"/>
          </v:shape>
        </w:pict>
      </w:r>
      <w:r>
        <w:rPr>
          <w:color w:val="231F20"/>
          <w:sz w:val="60"/>
        </w:rPr>
        <w:t>Force Management Statement (FMS5)</w:t>
      </w:r>
    </w:p>
    <w:p>
      <w:pPr>
        <w:spacing w:before="284"/>
        <w:ind w:left="824" w:right="0" w:firstLine="0"/>
        <w:jc w:val="left"/>
        <w:rPr>
          <w:sz w:val="60"/>
        </w:rPr>
      </w:pPr>
      <w:r>
        <w:rPr>
          <w:color w:val="FFFFFF"/>
          <w:sz w:val="60"/>
        </w:rPr>
        <w:t>2023/2024</w:t>
      </w:r>
    </w:p>
    <w:p>
      <w:pPr>
        <w:pStyle w:val="BodyText"/>
        <w:spacing w:before="12"/>
        <w:rPr>
          <w:sz w:val="87"/>
        </w:rPr>
      </w:pPr>
    </w:p>
    <w:p>
      <w:pPr>
        <w:spacing w:before="0"/>
        <w:ind w:left="3191" w:right="0" w:firstLine="0"/>
        <w:jc w:val="left"/>
        <w:rPr>
          <w:rFonts w:ascii="Arial" w:hAnsi="Arial"/>
          <w:b/>
          <w:sz w:val="85"/>
        </w:rPr>
      </w:pPr>
      <w:r>
        <w:rPr>
          <w:rFonts w:ascii="Arial" w:hAnsi="Arial"/>
          <w:b/>
          <w:color w:val="FFFFFF"/>
          <w:w w:val="99"/>
          <w:sz w:val="85"/>
        </w:rPr>
        <w:t>£</w:t>
      </w:r>
    </w:p>
    <w:p>
      <w:pPr>
        <w:spacing w:after="0"/>
        <w:jc w:val="left"/>
        <w:rPr>
          <w:rFonts w:ascii="Arial" w:hAnsi="Arial"/>
          <w:sz w:val="85"/>
        </w:rPr>
        <w:sectPr>
          <w:type w:val="continuous"/>
          <w:pgSz w:w="11910" w:h="16840"/>
          <w:pgMar w:top="0" w:bottom="0" w:left="0" w:right="0"/>
        </w:sectPr>
      </w:pPr>
    </w:p>
    <w:p>
      <w:pPr>
        <w:spacing w:before="124"/>
        <w:ind w:left="817" w:right="0" w:firstLine="0"/>
        <w:jc w:val="left"/>
        <w:rPr>
          <w:sz w:val="48"/>
        </w:rPr>
      </w:pPr>
      <w:r>
        <w:rPr/>
        <w:pict>
          <v:shape style="position:absolute;margin-left:42.890499pt;margin-top:39.623669pt;width:509.1pt;height:.1pt;mso-position-horizontal-relative:page;mso-position-vertical-relative:paragraph;z-index:-251635712;mso-wrap-distance-left:0;mso-wrap-distance-right:0" coordorigin="858,792" coordsize="10182,0" path="m858,792l11040,792e" filled="false" stroked="true" strokeweight="2.99990pt" strokecolor="#0074bc">
            <v:path arrowok="t"/>
            <v:stroke dashstyle="solid"/>
            <w10:wrap type="topAndBottom"/>
          </v:shape>
        </w:pict>
      </w:r>
      <w:r>
        <w:rPr>
          <w:color w:val="231F20"/>
          <w:sz w:val="48"/>
        </w:rPr>
        <w:t>Foreword</w:t>
      </w:r>
    </w:p>
    <w:p>
      <w:pPr>
        <w:pStyle w:val="BodyText"/>
        <w:spacing w:before="3"/>
        <w:rPr>
          <w:sz w:val="14"/>
        </w:rPr>
      </w:pPr>
    </w:p>
    <w:p>
      <w:pPr>
        <w:spacing w:before="124"/>
        <w:ind w:left="851" w:right="0" w:firstLine="0"/>
        <w:jc w:val="left"/>
        <w:rPr>
          <w:b/>
          <w:sz w:val="28"/>
        </w:rPr>
      </w:pPr>
      <w:r>
        <w:rPr>
          <w:b/>
          <w:color w:val="231F20"/>
          <w:sz w:val="28"/>
        </w:rPr>
        <w:t>Chief Constable Statement</w:t>
      </w:r>
    </w:p>
    <w:p>
      <w:pPr>
        <w:pStyle w:val="BodyText"/>
        <w:spacing w:before="282"/>
        <w:ind w:left="857" w:right="5658"/>
        <w:jc w:val="both"/>
      </w:pPr>
      <w:r>
        <w:rPr/>
        <w:pict>
          <v:group style="position:absolute;margin-left:395.008759pt;margin-top:13.099562pt;width:134.6pt;height:134.6pt;mso-position-horizontal-relative:page;mso-position-vertical-relative:paragraph;z-index:251681792" coordorigin="7900,262" coordsize="2692,2692">
            <v:shape style="position:absolute;left:7920;top:282;width:2652;height:2652" type="#_x0000_t75" stroked="false">
              <v:imagedata r:id="rId14" o:title=""/>
            </v:shape>
            <v:rect style="position:absolute;left:7920;top:282;width:2652;height:2652" filled="false" stroked="true" strokeweight="2.000100pt" strokecolor="#0074bc">
              <v:stroke dashstyle="solid"/>
            </v:rect>
            <w10:wrap type="none"/>
          </v:group>
        </w:pict>
      </w:r>
      <w:r>
        <w:rPr>
          <w:color w:val="0074BC"/>
        </w:rPr>
        <w:t>It is a privilege to be the Chief Constable for North </w:t>
      </w:r>
      <w:r>
        <w:rPr>
          <w:color w:val="0074BC"/>
          <w:spacing w:val="-3"/>
        </w:rPr>
        <w:t>Yorkshire </w:t>
      </w:r>
      <w:r>
        <w:rPr>
          <w:color w:val="0074BC"/>
        </w:rPr>
        <w:t>Police and during </w:t>
      </w:r>
      <w:r>
        <w:rPr>
          <w:color w:val="0074BC"/>
          <w:spacing w:val="-3"/>
        </w:rPr>
        <w:t>my </w:t>
      </w:r>
      <w:r>
        <w:rPr>
          <w:color w:val="0074BC"/>
        </w:rPr>
        <w:t>five years leading the force, I am</w:t>
      </w:r>
      <w:r>
        <w:rPr>
          <w:color w:val="0074BC"/>
          <w:spacing w:val="-33"/>
        </w:rPr>
        <w:t> </w:t>
      </w:r>
      <w:r>
        <w:rPr>
          <w:color w:val="0074BC"/>
        </w:rPr>
        <w:t>proud that we remain one of the safest places in the</w:t>
      </w:r>
      <w:r>
        <w:rPr>
          <w:color w:val="0074BC"/>
          <w:spacing w:val="-17"/>
        </w:rPr>
        <w:t> </w:t>
      </w:r>
      <w:r>
        <w:rPr>
          <w:color w:val="0074BC"/>
          <w:spacing w:val="-3"/>
        </w:rPr>
        <w:t>country.</w:t>
      </w:r>
    </w:p>
    <w:p>
      <w:pPr>
        <w:pStyle w:val="BodyText"/>
        <w:spacing w:before="1"/>
        <w:rPr>
          <w:sz w:val="29"/>
        </w:rPr>
      </w:pPr>
    </w:p>
    <w:p>
      <w:pPr>
        <w:spacing w:after="0"/>
        <w:rPr>
          <w:sz w:val="29"/>
        </w:rPr>
        <w:sectPr>
          <w:footerReference w:type="default" r:id="rId13"/>
          <w:pgSz w:w="11910" w:h="16840"/>
          <w:pgMar w:footer="647" w:header="0" w:top="1340" w:bottom="840" w:left="0" w:right="0"/>
        </w:sectPr>
      </w:pPr>
    </w:p>
    <w:p>
      <w:pPr>
        <w:spacing w:before="115"/>
        <w:ind w:left="857" w:right="-6" w:firstLine="0"/>
        <w:jc w:val="left"/>
        <w:rPr>
          <w:sz w:val="21"/>
        </w:rPr>
      </w:pPr>
      <w:r>
        <w:rPr>
          <w:color w:val="231F20"/>
          <w:sz w:val="21"/>
        </w:rPr>
        <w:t>Policing is about keeping people safe and making them feel safe which is our mission in North </w:t>
      </w:r>
      <w:r>
        <w:rPr>
          <w:color w:val="231F20"/>
          <w:spacing w:val="-3"/>
          <w:sz w:val="21"/>
        </w:rPr>
        <w:t>Yorkshire </w:t>
      </w:r>
      <w:r>
        <w:rPr>
          <w:color w:val="231F20"/>
          <w:sz w:val="21"/>
        </w:rPr>
        <w:t>Police. </w:t>
      </w:r>
      <w:r>
        <w:rPr>
          <w:color w:val="231F20"/>
          <w:spacing w:val="-4"/>
          <w:sz w:val="21"/>
        </w:rPr>
        <w:t>However, </w:t>
      </w:r>
      <w:r>
        <w:rPr>
          <w:color w:val="231F20"/>
          <w:sz w:val="21"/>
        </w:rPr>
        <w:t>we do not operate in a vacuum, we are impacted upon by national and regional issues, and we need to work within this complex </w:t>
      </w:r>
      <w:r>
        <w:rPr>
          <w:color w:val="231F20"/>
          <w:spacing w:val="-3"/>
          <w:sz w:val="21"/>
        </w:rPr>
        <w:t>landscape </w:t>
      </w:r>
      <w:r>
        <w:rPr>
          <w:color w:val="231F20"/>
          <w:sz w:val="21"/>
        </w:rPr>
        <w:t>alongside the local vision in a </w:t>
      </w:r>
      <w:r>
        <w:rPr>
          <w:color w:val="231F20"/>
          <w:spacing w:val="-3"/>
          <w:sz w:val="21"/>
        </w:rPr>
        <w:t>way </w:t>
      </w:r>
      <w:r>
        <w:rPr>
          <w:color w:val="231F20"/>
          <w:sz w:val="21"/>
        </w:rPr>
        <w:t>that best serves the public and can be translated for local policing here in North </w:t>
      </w:r>
      <w:r>
        <w:rPr>
          <w:color w:val="231F20"/>
          <w:spacing w:val="-3"/>
          <w:sz w:val="21"/>
        </w:rPr>
        <w:t>Yorkshire.</w:t>
      </w:r>
    </w:p>
    <w:p>
      <w:pPr>
        <w:spacing w:before="103"/>
        <w:ind w:left="857" w:right="9" w:firstLine="0"/>
        <w:jc w:val="left"/>
        <w:rPr>
          <w:sz w:val="21"/>
        </w:rPr>
      </w:pPr>
      <w:r>
        <w:rPr/>
        <w:pict>
          <v:shape style="position:absolute;margin-left:42.890499pt;margin-top:143.078156pt;width:254.55pt;height:262.55pt;mso-position-horizontal-relative:page;mso-position-vertical-relative:paragraph;z-index:251682816" type="#_x0000_t202" filled="true" fillcolor="#0074bc" stroked="false">
            <v:textbox inset="0,0,0,0">
              <w:txbxContent>
                <w:p>
                  <w:pPr>
                    <w:tabs>
                      <w:tab w:pos="494" w:val="left" w:leader="none"/>
                    </w:tabs>
                    <w:spacing w:line="237" w:lineRule="auto" w:before="148"/>
                    <w:ind w:left="494" w:right="321" w:hanging="284"/>
                    <w:jc w:val="left"/>
                    <w:rPr>
                      <w:sz w:val="21"/>
                    </w:rPr>
                  </w:pPr>
                  <w:r>
                    <w:rPr>
                      <w:rFonts w:ascii="Lucida Handwriting"/>
                      <w:color w:val="231F20"/>
                      <w:sz w:val="21"/>
                    </w:rPr>
                    <w:t>!</w:t>
                    <w:tab/>
                  </w:r>
                  <w:r>
                    <w:rPr>
                      <w:b/>
                      <w:color w:val="231F20"/>
                      <w:sz w:val="21"/>
                    </w:rPr>
                    <w:t>Bespoke </w:t>
                  </w:r>
                  <w:r>
                    <w:rPr>
                      <w:color w:val="231F20"/>
                      <w:sz w:val="21"/>
                    </w:rPr>
                    <w:t>to the person receiving the service as everyone's needs are different so we need to adapt our approach accordingly taking into account how we engage, respond and deliver our services to meet individual and community</w:t>
                  </w:r>
                  <w:r>
                    <w:rPr>
                      <w:color w:val="231F20"/>
                      <w:spacing w:val="-12"/>
                      <w:sz w:val="21"/>
                    </w:rPr>
                    <w:t> </w:t>
                  </w:r>
                  <w:r>
                    <w:rPr>
                      <w:color w:val="231F20"/>
                      <w:sz w:val="21"/>
                    </w:rPr>
                    <w:t>needs.</w:t>
                  </w:r>
                </w:p>
                <w:p>
                  <w:pPr>
                    <w:tabs>
                      <w:tab w:pos="494" w:val="left" w:leader="none"/>
                    </w:tabs>
                    <w:spacing w:line="244" w:lineRule="auto" w:before="80"/>
                    <w:ind w:left="494" w:right="302" w:hanging="284"/>
                    <w:jc w:val="left"/>
                    <w:rPr>
                      <w:sz w:val="21"/>
                    </w:rPr>
                  </w:pPr>
                  <w:r>
                    <w:rPr>
                      <w:rFonts w:ascii="Lucida Handwriting"/>
                      <w:color w:val="231F20"/>
                      <w:sz w:val="21"/>
                    </w:rPr>
                    <w:t>!</w:t>
                    <w:tab/>
                  </w:r>
                  <w:r>
                    <w:rPr>
                      <w:b/>
                      <w:color w:val="231F20"/>
                      <w:sz w:val="21"/>
                    </w:rPr>
                    <w:t>Providing all aspects of our services with the highest of standards </w:t>
                  </w:r>
                  <w:r>
                    <w:rPr>
                      <w:color w:val="231F20"/>
                      <w:sz w:val="21"/>
                    </w:rPr>
                    <w:t>not just those in front line, visible policing roles but in every department and role across the organisation. Those services which are not seen by the public who keep our communities safer from the highest of harm also need to deliver to the highest of standards along with our enabling and support services</w:t>
                  </w:r>
                  <w:r>
                    <w:rPr>
                      <w:color w:val="231F20"/>
                      <w:spacing w:val="-7"/>
                      <w:sz w:val="21"/>
                    </w:rPr>
                    <w:t> </w:t>
                  </w:r>
                  <w:r>
                    <w:rPr>
                      <w:color w:val="231F20"/>
                      <w:sz w:val="21"/>
                    </w:rPr>
                    <w:t>too.</w:t>
                  </w:r>
                </w:p>
                <w:p>
                  <w:pPr>
                    <w:tabs>
                      <w:tab w:pos="494" w:val="left" w:leader="none"/>
                    </w:tabs>
                    <w:spacing w:line="244" w:lineRule="auto" w:before="77"/>
                    <w:ind w:left="494" w:right="330" w:hanging="284"/>
                    <w:jc w:val="left"/>
                    <w:rPr>
                      <w:sz w:val="21"/>
                    </w:rPr>
                  </w:pPr>
                  <w:r>
                    <w:rPr>
                      <w:rFonts w:ascii="Lucida Handwriting"/>
                      <w:color w:val="231F20"/>
                      <w:sz w:val="21"/>
                    </w:rPr>
                    <w:t>!</w:t>
                    <w:tab/>
                  </w:r>
                  <w:r>
                    <w:rPr>
                      <w:b/>
                      <w:color w:val="231F20"/>
                      <w:sz w:val="21"/>
                    </w:rPr>
                    <w:t>Ambitious and works collaboratively with our partner agencies </w:t>
                  </w:r>
                  <w:r>
                    <w:rPr>
                      <w:color w:val="231F20"/>
                      <w:sz w:val="21"/>
                    </w:rPr>
                    <w:t>as often people who contact</w:t>
                  </w:r>
                  <w:r>
                    <w:rPr>
                      <w:color w:val="231F20"/>
                      <w:spacing w:val="-19"/>
                      <w:sz w:val="21"/>
                    </w:rPr>
                    <w:t> </w:t>
                  </w:r>
                  <w:r>
                    <w:rPr>
                      <w:color w:val="231F20"/>
                      <w:sz w:val="21"/>
                    </w:rPr>
                    <w:t>the police require a service from another</w:t>
                  </w:r>
                  <w:r>
                    <w:rPr>
                      <w:color w:val="231F20"/>
                      <w:spacing w:val="-24"/>
                      <w:sz w:val="21"/>
                    </w:rPr>
                    <w:t> </w:t>
                  </w:r>
                  <w:r>
                    <w:rPr>
                      <w:color w:val="231F20"/>
                      <w:sz w:val="21"/>
                    </w:rPr>
                    <w:t>organisation to meet their needs longer term or tackle the</w:t>
                  </w:r>
                  <w:r>
                    <w:rPr>
                      <w:color w:val="231F20"/>
                      <w:spacing w:val="-26"/>
                      <w:sz w:val="21"/>
                    </w:rPr>
                    <w:t> </w:t>
                  </w:r>
                  <w:r>
                    <w:rPr>
                      <w:color w:val="231F20"/>
                      <w:sz w:val="21"/>
                    </w:rPr>
                    <w:t>root cause of an</w:t>
                  </w:r>
                  <w:r>
                    <w:rPr>
                      <w:color w:val="231F20"/>
                      <w:spacing w:val="-4"/>
                      <w:sz w:val="21"/>
                    </w:rPr>
                    <w:t> </w:t>
                  </w:r>
                  <w:r>
                    <w:rPr>
                      <w:color w:val="231F20"/>
                      <w:sz w:val="21"/>
                    </w:rPr>
                    <w:t>issue.</w:t>
                  </w:r>
                </w:p>
              </w:txbxContent>
            </v:textbox>
            <v:fill opacity="13107f" type="solid"/>
            <w10:wrap type="none"/>
          </v:shape>
        </w:pict>
      </w:r>
      <w:r>
        <w:rPr>
          <w:color w:val="231F20"/>
          <w:sz w:val="21"/>
        </w:rPr>
        <w:t>Policing is a people led service and it is those highly professional and committed individuals within </w:t>
      </w:r>
      <w:r>
        <w:rPr>
          <w:color w:val="231F20"/>
          <w:spacing w:val="-3"/>
          <w:sz w:val="21"/>
        </w:rPr>
        <w:t>North Yorkshire </w:t>
      </w:r>
      <w:r>
        <w:rPr>
          <w:color w:val="231F20"/>
          <w:sz w:val="21"/>
        </w:rPr>
        <w:t>Police who deliver our mission through our vision of delivering an exemplary police service every </w:t>
      </w:r>
      <w:r>
        <w:rPr>
          <w:color w:val="231F20"/>
          <w:spacing w:val="-5"/>
          <w:sz w:val="21"/>
        </w:rPr>
        <w:t>day. </w:t>
      </w:r>
      <w:r>
        <w:rPr>
          <w:color w:val="231F20"/>
          <w:sz w:val="21"/>
        </w:rPr>
        <w:t>In North </w:t>
      </w:r>
      <w:r>
        <w:rPr>
          <w:color w:val="231F20"/>
          <w:spacing w:val="-3"/>
          <w:sz w:val="21"/>
        </w:rPr>
        <w:t>Yorkshire </w:t>
      </w:r>
      <w:r>
        <w:rPr>
          <w:color w:val="231F20"/>
          <w:sz w:val="21"/>
        </w:rPr>
        <w:t>Police, this means delivering a high-quality police service that is:</w:t>
      </w:r>
    </w:p>
    <w:p>
      <w:pPr>
        <w:spacing w:line="247" w:lineRule="auto" w:before="126"/>
        <w:ind w:left="466" w:right="0" w:firstLine="0"/>
        <w:jc w:val="left"/>
        <w:rPr>
          <w:sz w:val="21"/>
        </w:rPr>
      </w:pPr>
      <w:r>
        <w:rPr/>
        <w:br w:type="column"/>
      </w:r>
      <w:r>
        <w:rPr>
          <w:color w:val="231F20"/>
          <w:sz w:val="21"/>
        </w:rPr>
        <w:t>Our mission and vision have been brought together in our new Plan</w:t>
      </w:r>
      <w:r>
        <w:rPr>
          <w:color w:val="231F20"/>
          <w:spacing w:val="-21"/>
          <w:sz w:val="21"/>
        </w:rPr>
        <w:t> </w:t>
      </w:r>
      <w:r>
        <w:rPr>
          <w:color w:val="231F20"/>
          <w:sz w:val="21"/>
        </w:rPr>
        <w:t>on a Page (see page 4), this is underpinned by our core values of Impartiality, Integrity and Respect. The plan clearly articulates our purpose to prevent and detect crime, safeguard the vulnerable and deliver the very best service to the public. Adopting our approach of ensuring we are victim focused, working in partnership, targeting offenders, intervening early and solving problems, whilst always being inclusive and respecting </w:t>
      </w:r>
      <w:r>
        <w:rPr>
          <w:color w:val="231F20"/>
          <w:spacing w:val="-3"/>
          <w:sz w:val="21"/>
        </w:rPr>
        <w:t>diversity. </w:t>
      </w:r>
      <w:r>
        <w:rPr>
          <w:color w:val="231F20"/>
          <w:sz w:val="21"/>
        </w:rPr>
        <w:t>This is underpinned by our attributes which are the </w:t>
      </w:r>
      <w:r>
        <w:rPr>
          <w:color w:val="231F20"/>
          <w:spacing w:val="-3"/>
          <w:sz w:val="21"/>
        </w:rPr>
        <w:t>foundations </w:t>
      </w:r>
      <w:r>
        <w:rPr>
          <w:color w:val="231F20"/>
          <w:sz w:val="21"/>
        </w:rPr>
        <w:t>and enablers to delivering the characteristics of good that we strive to achieve in everything that we</w:t>
      </w:r>
      <w:r>
        <w:rPr>
          <w:color w:val="231F20"/>
          <w:spacing w:val="-2"/>
          <w:sz w:val="21"/>
        </w:rPr>
        <w:t> </w:t>
      </w:r>
      <w:r>
        <w:rPr>
          <w:color w:val="231F20"/>
          <w:sz w:val="21"/>
        </w:rPr>
        <w:t>do.</w:t>
      </w:r>
    </w:p>
    <w:p>
      <w:pPr>
        <w:pStyle w:val="BodyText"/>
        <w:rPr>
          <w:sz w:val="28"/>
        </w:rPr>
      </w:pPr>
      <w:r>
        <w:rPr/>
        <w:br w:type="column"/>
      </w:r>
      <w:r>
        <w:rPr>
          <w:sz w:val="28"/>
        </w:rPr>
      </w:r>
    </w:p>
    <w:p>
      <w:pPr>
        <w:pStyle w:val="BodyText"/>
        <w:rPr>
          <w:sz w:val="28"/>
        </w:rPr>
      </w:pPr>
    </w:p>
    <w:p>
      <w:pPr>
        <w:pStyle w:val="BodyText"/>
        <w:rPr>
          <w:sz w:val="28"/>
        </w:rPr>
      </w:pPr>
    </w:p>
    <w:p>
      <w:pPr>
        <w:pStyle w:val="BodyText"/>
        <w:rPr>
          <w:sz w:val="28"/>
        </w:rPr>
      </w:pPr>
    </w:p>
    <w:p>
      <w:pPr>
        <w:pStyle w:val="BodyText"/>
        <w:rPr>
          <w:sz w:val="28"/>
        </w:rPr>
      </w:pPr>
    </w:p>
    <w:p>
      <w:pPr>
        <w:spacing w:before="214"/>
        <w:ind w:left="367" w:right="864" w:firstLine="0"/>
        <w:jc w:val="left"/>
        <w:rPr>
          <w:sz w:val="21"/>
        </w:rPr>
      </w:pPr>
      <w:r>
        <w:rPr>
          <w:color w:val="231F20"/>
          <w:sz w:val="21"/>
        </w:rPr>
        <w:t>Our Force Management Statement (FMS) for 2023/24 builds upon my previous Statements, but also reflects the changing environment for policing services, a new North </w:t>
      </w:r>
      <w:r>
        <w:rPr>
          <w:color w:val="231F20"/>
          <w:spacing w:val="-3"/>
          <w:sz w:val="21"/>
        </w:rPr>
        <w:t>Yorkshire </w:t>
      </w:r>
      <w:r>
        <w:rPr>
          <w:color w:val="231F20"/>
          <w:sz w:val="21"/>
        </w:rPr>
        <w:t>Police and Crime Plan, greater partnership working and the government's continued investment in 'police officer uplift' and their national priorities. Our analysis tells us that whilst some areas of</w:t>
      </w:r>
      <w:r>
        <w:rPr>
          <w:color w:val="231F20"/>
          <w:spacing w:val="-19"/>
          <w:sz w:val="21"/>
        </w:rPr>
        <w:t> </w:t>
      </w:r>
      <w:r>
        <w:rPr>
          <w:color w:val="231F20"/>
          <w:sz w:val="21"/>
        </w:rPr>
        <w:t>reactive crime are increasing in demand or complexity, the legacy of the pandemic combined with an increased cost of living can be seen in increased </w:t>
      </w:r>
      <w:r>
        <w:rPr>
          <w:color w:val="231F20"/>
          <w:spacing w:val="-3"/>
          <w:sz w:val="21"/>
        </w:rPr>
        <w:t>poverty, </w:t>
      </w:r>
      <w:r>
        <w:rPr>
          <w:color w:val="231F20"/>
          <w:sz w:val="21"/>
        </w:rPr>
        <w:t>poorer physical and mental health and will increase areas of hidden crime particularly for women and children within a domestic or familial</w:t>
      </w:r>
      <w:r>
        <w:rPr>
          <w:color w:val="231F20"/>
          <w:spacing w:val="-5"/>
          <w:sz w:val="21"/>
        </w:rPr>
        <w:t> </w:t>
      </w:r>
      <w:r>
        <w:rPr>
          <w:color w:val="231F20"/>
          <w:sz w:val="21"/>
        </w:rPr>
        <w:t>setting.</w:t>
      </w:r>
    </w:p>
    <w:p>
      <w:pPr>
        <w:spacing w:before="103"/>
        <w:ind w:left="367" w:right="879" w:firstLine="0"/>
        <w:jc w:val="left"/>
        <w:rPr>
          <w:sz w:val="21"/>
        </w:rPr>
      </w:pPr>
      <w:r>
        <w:rPr>
          <w:color w:val="231F20"/>
          <w:sz w:val="21"/>
        </w:rPr>
        <w:t>It is important that we constantly evaluate the services that we deliver, and our recent HMICFRS Police Effectiveness, Efficiency and Legitimacy (PEEL) inspection identified some areas where we needed to improve. We have considered the findings and are on the journey to enhance the service we deliver through our comprehensive Improvement Plan. We have also recognised that some of our resources were not fully aligned to the areas of greatest risk and threat, so we have invested in our:</w:t>
      </w:r>
    </w:p>
    <w:p>
      <w:pPr>
        <w:spacing w:after="0"/>
        <w:jc w:val="left"/>
        <w:rPr>
          <w:sz w:val="21"/>
        </w:rPr>
        <w:sectPr>
          <w:type w:val="continuous"/>
          <w:pgSz w:w="11910" w:h="16840"/>
          <w:pgMar w:top="0" w:bottom="0" w:left="0" w:right="0"/>
          <w:cols w:num="3" w:equalWidth="0">
            <w:col w:w="3895" w:space="40"/>
            <w:col w:w="3580" w:space="39"/>
            <w:col w:w="4356"/>
          </w:cols>
        </w:sectPr>
      </w:pPr>
    </w:p>
    <w:p>
      <w:pPr>
        <w:pStyle w:val="BodyText"/>
        <w:spacing w:before="6"/>
        <w:rPr>
          <w:sz w:val="18"/>
        </w:rPr>
      </w:pPr>
    </w:p>
    <w:p>
      <w:pPr>
        <w:spacing w:after="0"/>
        <w:rPr>
          <w:sz w:val="18"/>
        </w:rPr>
        <w:sectPr>
          <w:pgSz w:w="11910" w:h="16840"/>
          <w:pgMar w:header="0" w:footer="647" w:top="1580" w:bottom="840" w:left="0" w:right="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spacing w:before="206"/>
        <w:ind w:left="857" w:right="-7" w:firstLine="0"/>
        <w:jc w:val="left"/>
        <w:rPr>
          <w:sz w:val="21"/>
        </w:rPr>
      </w:pPr>
      <w:r>
        <w:rPr>
          <w:color w:val="231F20"/>
          <w:sz w:val="21"/>
        </w:rPr>
        <w:t>Whilst we are making these </w:t>
      </w:r>
      <w:r>
        <w:rPr>
          <w:color w:val="231F20"/>
          <w:spacing w:val="-3"/>
          <w:sz w:val="21"/>
        </w:rPr>
        <w:t>changes </w:t>
      </w:r>
      <w:r>
        <w:rPr>
          <w:color w:val="231F20"/>
          <w:spacing w:val="-5"/>
          <w:sz w:val="21"/>
        </w:rPr>
        <w:t>now, </w:t>
      </w:r>
      <w:r>
        <w:rPr>
          <w:color w:val="231F20"/>
          <w:sz w:val="21"/>
        </w:rPr>
        <w:t>we need to recognise that the force faces significant financial pressures in the future not least through inflation, the cost of energy and consumables. </w:t>
      </w:r>
      <w:r>
        <w:rPr>
          <w:color w:val="231F20"/>
          <w:spacing w:val="-4"/>
          <w:sz w:val="21"/>
        </w:rPr>
        <w:t>We </w:t>
      </w:r>
      <w:r>
        <w:rPr>
          <w:color w:val="231F20"/>
          <w:sz w:val="21"/>
        </w:rPr>
        <w:t>also face the uncertainty of future pay awards, with the percentage rise that is nationally and locally budgeted being below the level other public sector negotiations are achieving. I have therefore established an Organisational Design Project which will </w:t>
      </w:r>
      <w:r>
        <w:rPr>
          <w:color w:val="231F20"/>
          <w:spacing w:val="-3"/>
          <w:sz w:val="21"/>
        </w:rPr>
        <w:t>take </w:t>
      </w:r>
      <w:r>
        <w:rPr>
          <w:color w:val="231F20"/>
          <w:sz w:val="21"/>
        </w:rPr>
        <w:t>a holistic approach to reshaping the organisation from April 2024 to meet the future budget envelope but also meet demand in the highest harm areas.</w:t>
      </w:r>
    </w:p>
    <w:p>
      <w:pPr>
        <w:spacing w:before="116"/>
        <w:ind w:left="441" w:right="0" w:firstLine="0"/>
        <w:jc w:val="left"/>
        <w:rPr>
          <w:sz w:val="21"/>
        </w:rPr>
      </w:pPr>
      <w:r>
        <w:rPr/>
        <w:br w:type="column"/>
      </w:r>
      <w:r>
        <w:rPr>
          <w:color w:val="231F20"/>
          <w:sz w:val="21"/>
        </w:rPr>
        <w:t>Many of the areas of our demand and resourcing are reactive, but I passionately believe that</w:t>
      </w:r>
      <w:r>
        <w:rPr>
          <w:color w:val="231F20"/>
          <w:spacing w:val="-23"/>
          <w:sz w:val="21"/>
        </w:rPr>
        <w:t> </w:t>
      </w:r>
      <w:r>
        <w:rPr>
          <w:color w:val="231F20"/>
          <w:sz w:val="21"/>
        </w:rPr>
        <w:t>prevention is better than cure and my ambition as Chief Constable is to see prevention and early intervention truly embedded as a </w:t>
      </w:r>
      <w:r>
        <w:rPr>
          <w:color w:val="231F20"/>
          <w:spacing w:val="-3"/>
          <w:sz w:val="21"/>
        </w:rPr>
        <w:t>way </w:t>
      </w:r>
      <w:r>
        <w:rPr>
          <w:color w:val="231F20"/>
          <w:sz w:val="21"/>
        </w:rPr>
        <w:t>of working across the whole organisation. That is why we will continue to focus on prevention, early intervention and problem solving across everything we do. As a police service, we can't do this alone; it has to be a partnership effort as we are not always the right organisation to</w:t>
      </w:r>
      <w:r>
        <w:rPr>
          <w:color w:val="231F20"/>
          <w:spacing w:val="-29"/>
          <w:sz w:val="21"/>
        </w:rPr>
        <w:t> </w:t>
      </w:r>
      <w:r>
        <w:rPr>
          <w:color w:val="231F20"/>
          <w:sz w:val="21"/>
        </w:rPr>
        <w:t>help someone in the most effective </w:t>
      </w:r>
      <w:r>
        <w:rPr>
          <w:color w:val="231F20"/>
          <w:spacing w:val="-6"/>
          <w:sz w:val="21"/>
        </w:rPr>
        <w:t>way. </w:t>
      </w:r>
      <w:r>
        <w:rPr>
          <w:color w:val="231F20"/>
          <w:spacing w:val="-10"/>
          <w:sz w:val="21"/>
        </w:rPr>
        <w:t>To </w:t>
      </w:r>
      <w:r>
        <w:rPr>
          <w:color w:val="231F20"/>
          <w:sz w:val="21"/>
        </w:rPr>
        <w:t>achieve this we must ensure that our information, intelligence, analysis and performance data is at the heart of our decisions and actions in order to meet the demands of the next 20</w:t>
      </w:r>
      <w:r>
        <w:rPr>
          <w:color w:val="231F20"/>
          <w:spacing w:val="-9"/>
          <w:sz w:val="21"/>
        </w:rPr>
        <w:t> </w:t>
      </w:r>
      <w:r>
        <w:rPr>
          <w:color w:val="231F20"/>
          <w:sz w:val="21"/>
        </w:rPr>
        <w:t>years.</w:t>
      </w:r>
    </w:p>
    <w:p>
      <w:pPr>
        <w:spacing w:before="0"/>
        <w:ind w:left="441" w:right="-1" w:firstLine="0"/>
        <w:jc w:val="left"/>
        <w:rPr>
          <w:sz w:val="21"/>
        </w:rPr>
      </w:pPr>
      <w:r>
        <w:rPr/>
        <w:pict>
          <v:shape style="position:absolute;margin-left:34.1031pt;margin-top:-281.974640pt;width:170.5pt;height:431.3pt;mso-position-horizontal-relative:page;mso-position-vertical-relative:paragraph;z-index:251686912" type="#_x0000_t202" filled="true" fillcolor="#0074bc" stroked="false">
            <v:textbox inset="0,0,0,0">
              <w:txbxContent>
                <w:p>
                  <w:pPr>
                    <w:tabs>
                      <w:tab w:pos="459" w:val="left" w:leader="none"/>
                    </w:tabs>
                    <w:spacing w:line="237" w:lineRule="auto" w:before="139"/>
                    <w:ind w:left="459" w:right="170" w:hanging="284"/>
                    <w:jc w:val="left"/>
                    <w:rPr>
                      <w:sz w:val="21"/>
                    </w:rPr>
                  </w:pPr>
                  <w:r>
                    <w:rPr>
                      <w:rFonts w:ascii="Lucida Handwriting" w:hAnsi="Lucida Handwriting"/>
                      <w:color w:val="231F20"/>
                      <w:sz w:val="21"/>
                    </w:rPr>
                    <w:t>!</w:t>
                    <w:tab/>
                  </w:r>
                  <w:r>
                    <w:rPr>
                      <w:b/>
                      <w:color w:val="231F20"/>
                      <w:sz w:val="21"/>
                    </w:rPr>
                    <w:t>Safeguarding teams </w:t>
                  </w:r>
                  <w:r>
                    <w:rPr>
                      <w:color w:val="231F20"/>
                      <w:sz w:val="21"/>
                    </w:rPr>
                    <w:t>- in total</w:t>
                  </w:r>
                  <w:r>
                    <w:rPr>
                      <w:color w:val="231F20"/>
                      <w:spacing w:val="-23"/>
                      <w:sz w:val="21"/>
                    </w:rPr>
                    <w:t> </w:t>
                  </w:r>
                  <w:r>
                    <w:rPr>
                      <w:color w:val="231F20"/>
                      <w:sz w:val="21"/>
                    </w:rPr>
                    <w:t>we are investing £2.9M to improve our support to the vulnerable and improve our capacity to meet the</w:t>
                  </w:r>
                  <w:r>
                    <w:rPr>
                      <w:color w:val="231F20"/>
                      <w:spacing w:val="-3"/>
                      <w:sz w:val="21"/>
                    </w:rPr>
                    <w:t> </w:t>
                  </w:r>
                  <w:r>
                    <w:rPr>
                      <w:color w:val="231F20"/>
                      <w:sz w:val="21"/>
                    </w:rPr>
                    <w:t>demand.</w:t>
                  </w:r>
                </w:p>
                <w:p>
                  <w:pPr>
                    <w:tabs>
                      <w:tab w:pos="459" w:val="left" w:leader="none"/>
                    </w:tabs>
                    <w:spacing w:line="240" w:lineRule="auto" w:before="80"/>
                    <w:ind w:left="459" w:right="207" w:hanging="284"/>
                    <w:jc w:val="left"/>
                    <w:rPr>
                      <w:sz w:val="21"/>
                    </w:rPr>
                  </w:pPr>
                  <w:r>
                    <w:rPr>
                      <w:rFonts w:ascii="Lucida Handwriting"/>
                      <w:color w:val="231F20"/>
                      <w:sz w:val="21"/>
                    </w:rPr>
                    <w:t>!</w:t>
                    <w:tab/>
                  </w:r>
                  <w:r>
                    <w:rPr>
                      <w:b/>
                      <w:color w:val="231F20"/>
                      <w:sz w:val="21"/>
                    </w:rPr>
                    <w:t>Investigation teams </w:t>
                  </w:r>
                  <w:r>
                    <w:rPr>
                      <w:color w:val="231F20"/>
                      <w:sz w:val="21"/>
                    </w:rPr>
                    <w:t>- this will also support our focus on safeguarding by creating specialist safeguarding teams working alongside our CID teams. This change will allow more specialist competencies </w:t>
                  </w:r>
                  <w:r>
                    <w:rPr>
                      <w:color w:val="231F20"/>
                      <w:spacing w:val="-8"/>
                      <w:sz w:val="21"/>
                    </w:rPr>
                    <w:t>to </w:t>
                  </w:r>
                  <w:r>
                    <w:rPr>
                      <w:color w:val="231F20"/>
                      <w:sz w:val="21"/>
                    </w:rPr>
                    <w:t>be developed and ensure that the right people with the right skills, investigate the right crimes.</w:t>
                  </w:r>
                </w:p>
                <w:p>
                  <w:pPr>
                    <w:tabs>
                      <w:tab w:pos="458" w:val="left" w:leader="none"/>
                    </w:tabs>
                    <w:spacing w:line="237" w:lineRule="auto" w:before="72"/>
                    <w:ind w:left="458" w:right="204" w:hanging="284"/>
                    <w:jc w:val="left"/>
                    <w:rPr>
                      <w:sz w:val="21"/>
                    </w:rPr>
                  </w:pPr>
                  <w:r>
                    <w:rPr>
                      <w:rFonts w:ascii="Lucida Handwriting"/>
                      <w:color w:val="231F20"/>
                      <w:sz w:val="21"/>
                    </w:rPr>
                    <w:t>!</w:t>
                    <w:tab/>
                  </w:r>
                  <w:r>
                    <w:rPr>
                      <w:b/>
                      <w:color w:val="231F20"/>
                      <w:sz w:val="21"/>
                    </w:rPr>
                    <w:t>Force Control Room (FCR) </w:t>
                  </w:r>
                  <w:r>
                    <w:rPr>
                      <w:color w:val="231F20"/>
                      <w:sz w:val="21"/>
                    </w:rPr>
                    <w:t>- we will increase the resources to</w:t>
                  </w:r>
                  <w:r>
                    <w:rPr>
                      <w:color w:val="231F20"/>
                      <w:spacing w:val="-19"/>
                      <w:sz w:val="21"/>
                    </w:rPr>
                    <w:t> </w:t>
                  </w:r>
                  <w:r>
                    <w:rPr>
                      <w:color w:val="231F20"/>
                      <w:sz w:val="21"/>
                    </w:rPr>
                    <w:t>be able to better meet demands from the public to ensure that when we are needed, the public can reach</w:t>
                  </w:r>
                  <w:r>
                    <w:rPr>
                      <w:color w:val="231F20"/>
                      <w:spacing w:val="-3"/>
                      <w:sz w:val="21"/>
                    </w:rPr>
                    <w:t> </w:t>
                  </w:r>
                  <w:r>
                    <w:rPr>
                      <w:color w:val="231F20"/>
                      <w:sz w:val="21"/>
                    </w:rPr>
                    <w:t>us.</w:t>
                  </w:r>
                </w:p>
                <w:p>
                  <w:pPr>
                    <w:tabs>
                      <w:tab w:pos="458" w:val="left" w:leader="none"/>
                    </w:tabs>
                    <w:spacing w:line="237" w:lineRule="auto" w:before="85"/>
                    <w:ind w:left="458" w:right="205" w:hanging="284"/>
                    <w:jc w:val="left"/>
                    <w:rPr>
                      <w:sz w:val="21"/>
                    </w:rPr>
                  </w:pPr>
                  <w:r>
                    <w:rPr>
                      <w:rFonts w:ascii="Lucida Handwriting"/>
                      <w:color w:val="231F20"/>
                      <w:sz w:val="21"/>
                    </w:rPr>
                    <w:t>!</w:t>
                    <w:tab/>
                  </w:r>
                  <w:r>
                    <w:rPr>
                      <w:b/>
                      <w:color w:val="231F20"/>
                      <w:sz w:val="21"/>
                    </w:rPr>
                    <w:t>Digital Forensics Unit (DFU) </w:t>
                  </w:r>
                  <w:r>
                    <w:rPr>
                      <w:color w:val="231F20"/>
                      <w:sz w:val="21"/>
                    </w:rPr>
                    <w:t>- almost every serious crime now has a 'digital footprint', we have invested in reducing the</w:t>
                  </w:r>
                  <w:r>
                    <w:rPr>
                      <w:color w:val="231F20"/>
                      <w:spacing w:val="-19"/>
                      <w:sz w:val="21"/>
                    </w:rPr>
                    <w:t> </w:t>
                  </w:r>
                  <w:r>
                    <w:rPr>
                      <w:color w:val="231F20"/>
                      <w:sz w:val="21"/>
                    </w:rPr>
                    <w:t>backlog within our DFU which will provide a more acceptable level of service, improving investigative response and outcomes for</w:t>
                  </w:r>
                  <w:r>
                    <w:rPr>
                      <w:color w:val="231F20"/>
                      <w:spacing w:val="-3"/>
                      <w:sz w:val="21"/>
                    </w:rPr>
                    <w:t> </w:t>
                  </w:r>
                  <w:r>
                    <w:rPr>
                      <w:color w:val="231F20"/>
                      <w:sz w:val="21"/>
                    </w:rPr>
                    <w:t>victims.</w:t>
                  </w:r>
                </w:p>
              </w:txbxContent>
            </v:textbox>
            <v:fill opacity="13107f" type="solid"/>
            <w10:wrap type="none"/>
          </v:shape>
        </w:pict>
      </w:r>
      <w:r>
        <w:rPr>
          <w:color w:val="231F20"/>
          <w:sz w:val="21"/>
        </w:rPr>
        <w:t>Sharing information and recognising the right opportunities to make a difference and support individuals and families at the earliest stage</w:t>
      </w:r>
      <w:r>
        <w:rPr>
          <w:color w:val="231F20"/>
          <w:spacing w:val="-25"/>
          <w:sz w:val="21"/>
        </w:rPr>
        <w:t> </w:t>
      </w:r>
      <w:r>
        <w:rPr>
          <w:color w:val="231F20"/>
          <w:sz w:val="21"/>
        </w:rPr>
        <w:t>can have a life-changing impact in the longer</w:t>
      </w:r>
      <w:r>
        <w:rPr>
          <w:color w:val="231F20"/>
          <w:spacing w:val="-2"/>
          <w:sz w:val="21"/>
        </w:rPr>
        <w:t> </w:t>
      </w:r>
      <w:r>
        <w:rPr>
          <w:color w:val="231F20"/>
          <w:sz w:val="21"/>
        </w:rPr>
        <w:t>term.</w:t>
      </w:r>
    </w:p>
    <w:p>
      <w:pPr>
        <w:spacing w:before="102"/>
        <w:ind w:left="441" w:right="-4" w:firstLine="0"/>
        <w:jc w:val="left"/>
        <w:rPr>
          <w:sz w:val="21"/>
        </w:rPr>
      </w:pPr>
      <w:r>
        <w:rPr>
          <w:color w:val="231F20"/>
          <w:sz w:val="21"/>
        </w:rPr>
        <w:t>Working to our Plan on a Page, we recognise that the attributes that underpin the delivery of our service need to develop and improve until they are embedded into the foundations of the organisation and are being delivered to an exemplary standard every </w:t>
      </w:r>
      <w:r>
        <w:rPr>
          <w:color w:val="231F20"/>
          <w:spacing w:val="-5"/>
          <w:sz w:val="21"/>
        </w:rPr>
        <w:t>day. </w:t>
      </w:r>
      <w:r>
        <w:rPr>
          <w:color w:val="231F20"/>
          <w:sz w:val="21"/>
        </w:rPr>
        <w:t>The force has been on a journey of significant change in relation to the enabling functions which requires review and stabilisation for the longer term through a planned review and embedding of a comprehensive performance framework. This Force Management Statement incorporates strategic, workforce and financial planning with the predicted demands for the future to ensure that we have the right people in the right places with the right skills, leadership and the</w:t>
      </w:r>
      <w:r>
        <w:rPr>
          <w:color w:val="231F20"/>
          <w:spacing w:val="-24"/>
          <w:sz w:val="21"/>
        </w:rPr>
        <w:t> </w:t>
      </w:r>
      <w:r>
        <w:rPr>
          <w:color w:val="231F20"/>
          <w:sz w:val="21"/>
        </w:rPr>
        <w:t>ability to thrive through our Wellbeing </w:t>
      </w:r>
      <w:r>
        <w:rPr>
          <w:color w:val="231F20"/>
          <w:spacing w:val="-3"/>
          <w:sz w:val="21"/>
        </w:rPr>
        <w:t>Strategy. </w:t>
      </w:r>
      <w:r>
        <w:rPr>
          <w:color w:val="231F20"/>
          <w:sz w:val="21"/>
        </w:rPr>
        <w:t>Particularly given</w:t>
      </w:r>
      <w:r>
        <w:rPr>
          <w:color w:val="231F20"/>
          <w:spacing w:val="-3"/>
          <w:sz w:val="21"/>
        </w:rPr>
        <w:t> </w:t>
      </w:r>
      <w:r>
        <w:rPr>
          <w:color w:val="231F20"/>
          <w:sz w:val="21"/>
        </w:rPr>
        <w:t>funding</w:t>
      </w:r>
    </w:p>
    <w:p>
      <w:pPr>
        <w:spacing w:before="116"/>
        <w:ind w:left="337" w:right="1161" w:firstLine="0"/>
        <w:jc w:val="both"/>
        <w:rPr>
          <w:sz w:val="21"/>
        </w:rPr>
      </w:pPr>
      <w:r>
        <w:rPr/>
        <w:br w:type="column"/>
      </w:r>
      <w:r>
        <w:rPr>
          <w:color w:val="231F20"/>
          <w:sz w:val="21"/>
        </w:rPr>
        <w:t>for the public sector more</w:t>
      </w:r>
      <w:r>
        <w:rPr>
          <w:color w:val="231F20"/>
          <w:spacing w:val="-15"/>
          <w:sz w:val="21"/>
        </w:rPr>
        <w:t> </w:t>
      </w:r>
      <w:r>
        <w:rPr>
          <w:color w:val="231F20"/>
          <w:sz w:val="21"/>
        </w:rPr>
        <w:t>widely will be stretched impacting upon policing and our</w:t>
      </w:r>
      <w:r>
        <w:rPr>
          <w:color w:val="231F20"/>
          <w:spacing w:val="-4"/>
          <w:sz w:val="21"/>
        </w:rPr>
        <w:t> </w:t>
      </w:r>
      <w:r>
        <w:rPr>
          <w:color w:val="231F20"/>
          <w:sz w:val="21"/>
        </w:rPr>
        <w:t>partners.</w:t>
      </w:r>
    </w:p>
    <w:p>
      <w:pPr>
        <w:spacing w:before="102"/>
        <w:ind w:left="337" w:right="856" w:firstLine="0"/>
        <w:jc w:val="left"/>
        <w:rPr>
          <w:sz w:val="21"/>
        </w:rPr>
      </w:pPr>
      <w:r>
        <w:rPr>
          <w:color w:val="231F20"/>
          <w:sz w:val="21"/>
        </w:rPr>
        <w:t>I am also cognisant that as Chief Constable we, North Yorkshire Police, also have a wider part to play in keeping society safe at a regional/national or even global level through our role in supporting Counter Terrorism (CT), and the dismantling of Serious &amp; Organised Crime (SOC).</w:t>
      </w:r>
    </w:p>
    <w:p>
      <w:pPr>
        <w:spacing w:before="103"/>
        <w:ind w:left="337" w:right="868" w:firstLine="0"/>
        <w:jc w:val="left"/>
        <w:rPr>
          <w:sz w:val="21"/>
        </w:rPr>
      </w:pPr>
      <w:r>
        <w:rPr>
          <w:color w:val="231F20"/>
          <w:sz w:val="21"/>
        </w:rPr>
        <w:t>Policing is becoming more challenging as we operate in an increasingly complex environment where the trust, confidence and support of the public is fragile. </w:t>
      </w:r>
      <w:r>
        <w:rPr>
          <w:color w:val="231F20"/>
          <w:spacing w:val="-5"/>
          <w:sz w:val="21"/>
        </w:rPr>
        <w:t>We </w:t>
      </w:r>
      <w:r>
        <w:rPr>
          <w:color w:val="231F20"/>
          <w:sz w:val="21"/>
        </w:rPr>
        <w:t>must be proactive in taking steps to tackle corruption and inappropriate behaviour in the service through </w:t>
      </w:r>
      <w:r>
        <w:rPr>
          <w:color w:val="231F20"/>
          <w:spacing w:val="-4"/>
          <w:sz w:val="21"/>
        </w:rPr>
        <w:t>our </w:t>
      </w:r>
      <w:r>
        <w:rPr>
          <w:color w:val="231F20"/>
          <w:sz w:val="21"/>
        </w:rPr>
        <w:t>plans. With comprehensive plans in place informed by this Force Management Statement, despite the challenges ahead, </w:t>
      </w:r>
      <w:r>
        <w:rPr>
          <w:color w:val="231F20"/>
          <w:spacing w:val="-3"/>
          <w:sz w:val="21"/>
        </w:rPr>
        <w:t>together, </w:t>
      </w:r>
      <w:r>
        <w:rPr>
          <w:color w:val="231F20"/>
          <w:sz w:val="21"/>
        </w:rPr>
        <w:t>with our partners and communities, we can make North </w:t>
      </w:r>
      <w:r>
        <w:rPr>
          <w:color w:val="231F20"/>
          <w:spacing w:val="-3"/>
          <w:sz w:val="21"/>
        </w:rPr>
        <w:t>Yorkshire </w:t>
      </w:r>
      <w:r>
        <w:rPr>
          <w:color w:val="231F20"/>
          <w:sz w:val="21"/>
        </w:rPr>
        <w:t>an even safer place to live, work, visit and enjoy and place where people can feel</w:t>
      </w:r>
      <w:r>
        <w:rPr>
          <w:color w:val="231F20"/>
          <w:spacing w:val="-2"/>
          <w:sz w:val="21"/>
        </w:rPr>
        <w:t> </w:t>
      </w:r>
      <w:r>
        <w:rPr>
          <w:color w:val="231F20"/>
          <w:sz w:val="21"/>
        </w:rPr>
        <w:t>safe.</w:t>
      </w:r>
    </w:p>
    <w:p>
      <w:pPr>
        <w:pStyle w:val="BodyText"/>
        <w:rPr>
          <w:sz w:val="20"/>
        </w:rPr>
      </w:pPr>
    </w:p>
    <w:p>
      <w:pPr>
        <w:pStyle w:val="BodyText"/>
        <w:spacing w:before="1"/>
        <w:rPr>
          <w:sz w:val="10"/>
        </w:rPr>
      </w:pPr>
      <w:r>
        <w:rPr/>
        <w:pict>
          <v:group style="position:absolute;margin-left:392.988342pt;margin-top:8.152589pt;width:160.5pt;height:166.65pt;mso-position-horizontal-relative:page;mso-position-vertical-relative:paragraph;z-index:-251631616;mso-wrap-distance-left:0;mso-wrap-distance-right:0" coordorigin="7860,163" coordsize="3210,3333">
            <v:shape style="position:absolute;left:7889;top:193;width:3150;height:3273" coordorigin="7890,193" coordsize="3150,3273" path="m8060,193l10870,193,10936,206,10990,243,11026,297,11040,363,11040,3295,11026,3361,10990,3416,10936,3452,10870,3465,8060,3465,7994,3452,7940,3416,7903,3361,7890,3295,7890,363,7903,297,7940,243,7994,206,8060,193xe" filled="false" stroked="true" strokeweight="2.99990pt" strokecolor="#0074bc">
              <v:path arrowok="t"/>
              <v:stroke dashstyle="solid"/>
            </v:shape>
            <v:shape style="position:absolute;left:7859;top:163;width:3210;height:3333" type="#_x0000_t202" filled="false" stroked="false">
              <v:textbox inset="0,0,0,0">
                <w:txbxContent>
                  <w:p>
                    <w:pPr>
                      <w:spacing w:before="239"/>
                      <w:ind w:left="233" w:right="311" w:firstLine="0"/>
                      <w:jc w:val="center"/>
                      <w:rPr>
                        <w:b/>
                        <w:sz w:val="28"/>
                      </w:rPr>
                    </w:pPr>
                    <w:r>
                      <w:rPr>
                        <w:b/>
                        <w:color w:val="0074BC"/>
                        <w:sz w:val="28"/>
                      </w:rPr>
                      <w:t>Declaration</w:t>
                    </w:r>
                  </w:p>
                  <w:p>
                    <w:pPr>
                      <w:spacing w:before="61"/>
                      <w:ind w:left="293" w:right="372" w:hanging="1"/>
                      <w:jc w:val="center"/>
                      <w:rPr>
                        <w:sz w:val="24"/>
                      </w:rPr>
                    </w:pPr>
                    <w:r>
                      <w:rPr>
                        <w:color w:val="0074BC"/>
                        <w:sz w:val="24"/>
                      </w:rPr>
                      <w:t>This is the 2023 Force Management Statement for North </w:t>
                    </w:r>
                    <w:r>
                      <w:rPr>
                        <w:color w:val="0074BC"/>
                        <w:spacing w:val="-3"/>
                        <w:sz w:val="24"/>
                      </w:rPr>
                      <w:t>Yorkshire Police.</w:t>
                    </w:r>
                  </w:p>
                  <w:p>
                    <w:pPr>
                      <w:spacing w:before="0"/>
                      <w:ind w:left="233" w:right="312" w:firstLine="0"/>
                      <w:jc w:val="center"/>
                      <w:rPr>
                        <w:sz w:val="24"/>
                      </w:rPr>
                    </w:pPr>
                    <w:r>
                      <w:rPr>
                        <w:color w:val="0074BC"/>
                        <w:sz w:val="24"/>
                      </w:rPr>
                      <w:t>Except where stated otherwise, the information in this statement is complete and accurate in all material respects.</w:t>
                    </w:r>
                  </w:p>
                </w:txbxContent>
              </v:textbox>
              <w10:wrap type="none"/>
            </v:shape>
            <w10:wrap type="topAndBottom"/>
          </v:group>
        </w:pict>
      </w:r>
      <w:r>
        <w:rPr/>
        <w:drawing>
          <wp:anchor distT="0" distB="0" distL="0" distR="0" allowOverlap="1" layoutInCell="1" locked="0" behindDoc="0" simplePos="0" relativeHeight="27">
            <wp:simplePos x="0" y="0"/>
            <wp:positionH relativeFrom="page">
              <wp:posOffset>5003869</wp:posOffset>
            </wp:positionH>
            <wp:positionV relativeFrom="paragraph">
              <wp:posOffset>2470864</wp:posOffset>
            </wp:positionV>
            <wp:extent cx="1539237" cy="594360"/>
            <wp:effectExtent l="0" t="0" r="0" b="0"/>
            <wp:wrapTopAndBottom/>
            <wp:docPr id="1" name="image10.png"/>
            <wp:cNvGraphicFramePr>
              <a:graphicFrameLocks noChangeAspect="1"/>
            </wp:cNvGraphicFramePr>
            <a:graphic>
              <a:graphicData uri="http://schemas.openxmlformats.org/drawingml/2006/picture">
                <pic:pic>
                  <pic:nvPicPr>
                    <pic:cNvPr id="2" name="image10.png"/>
                    <pic:cNvPicPr/>
                  </pic:nvPicPr>
                  <pic:blipFill>
                    <a:blip r:embed="rId15" cstate="print"/>
                    <a:stretch>
                      <a:fillRect/>
                    </a:stretch>
                  </pic:blipFill>
                  <pic:spPr>
                    <a:xfrm>
                      <a:off x="0" y="0"/>
                      <a:ext cx="1539237" cy="594360"/>
                    </a:xfrm>
                    <a:prstGeom prst="rect">
                      <a:avLst/>
                    </a:prstGeom>
                  </pic:spPr>
                </pic:pic>
              </a:graphicData>
            </a:graphic>
          </wp:anchor>
        </w:drawing>
      </w:r>
    </w:p>
    <w:p>
      <w:pPr>
        <w:pStyle w:val="BodyText"/>
        <w:spacing w:before="10"/>
        <w:rPr>
          <w:sz w:val="26"/>
        </w:rPr>
      </w:pPr>
    </w:p>
    <w:p>
      <w:pPr>
        <w:spacing w:before="26"/>
        <w:ind w:left="337" w:right="856" w:firstLine="0"/>
        <w:jc w:val="left"/>
        <w:rPr>
          <w:sz w:val="21"/>
        </w:rPr>
      </w:pPr>
      <w:r>
        <w:rPr>
          <w:b/>
          <w:color w:val="231F20"/>
          <w:sz w:val="21"/>
        </w:rPr>
        <w:t>Lisa Winward </w:t>
      </w:r>
      <w:r>
        <w:rPr>
          <w:color w:val="231F20"/>
          <w:sz w:val="21"/>
        </w:rPr>
        <w:t>QPM MBA Bsc Hons Chief Constable</w:t>
      </w:r>
    </w:p>
    <w:p>
      <w:pPr>
        <w:spacing w:after="0"/>
        <w:jc w:val="left"/>
        <w:rPr>
          <w:sz w:val="21"/>
        </w:rPr>
        <w:sectPr>
          <w:type w:val="continuous"/>
          <w:pgSz w:w="11910" w:h="16840"/>
          <w:pgMar w:top="0" w:bottom="0" w:left="0" w:right="0"/>
          <w:cols w:num="3" w:equalWidth="0">
            <w:col w:w="3954" w:space="40"/>
            <w:col w:w="3551" w:space="39"/>
            <w:col w:w="4326"/>
          </w:cols>
        </w:sectPr>
      </w:pPr>
    </w:p>
    <w:p>
      <w:pPr>
        <w:pStyle w:val="BodyText"/>
        <w:rPr>
          <w:sz w:val="20"/>
        </w:rPr>
      </w:pPr>
      <w:r>
        <w:rPr/>
        <w:pict>
          <v:rect style="position:absolute;margin-left:0pt;margin-top:0pt;width:595.275574pt;height:841.889771pt;mso-position-horizontal-relative:page;mso-position-vertical-relative:page;z-index:-255254528" filled="true" fillcolor="#0074bc" stroked="false">
            <v:fill opacity="19660f" type="solid"/>
            <w10:wrap type="none"/>
          </v:rect>
        </w:pict>
      </w:r>
    </w:p>
    <w:p>
      <w:pPr>
        <w:pStyle w:val="BodyText"/>
        <w:rPr>
          <w:sz w:val="20"/>
        </w:rPr>
      </w:pPr>
    </w:p>
    <w:p>
      <w:pPr>
        <w:pStyle w:val="BodyText"/>
        <w:rPr>
          <w:sz w:val="20"/>
        </w:rPr>
      </w:pPr>
    </w:p>
    <w:p>
      <w:pPr>
        <w:pStyle w:val="BodyText"/>
        <w:rPr>
          <w:sz w:val="20"/>
        </w:rPr>
      </w:pPr>
    </w:p>
    <w:p>
      <w:pPr>
        <w:pStyle w:val="BodyText"/>
        <w:spacing w:before="5"/>
      </w:pPr>
    </w:p>
    <w:p>
      <w:pPr>
        <w:pStyle w:val="Heading1"/>
        <w:spacing w:line="206" w:lineRule="auto"/>
        <w:ind w:right="4151"/>
      </w:pPr>
      <w:r>
        <w:rPr/>
        <w:pict>
          <v:group style="position:absolute;margin-left:447.73291pt;margin-top:-14.625636pt;width:122.7pt;height:158.2pt;mso-position-horizontal-relative:page;mso-position-vertical-relative:paragraph;z-index:-255252480" coordorigin="8955,-293" coordsize="2454,3164">
            <v:shape style="position:absolute;left:8954;top:-293;width:2454;height:3164" type="#_x0000_t75" stroked="false">
              <v:imagedata r:id="rId17" o:title=""/>
            </v:shape>
            <v:shape style="position:absolute;left:10091;top:824;width:147;height:228" type="#_x0000_t202" filled="false" stroked="false">
              <v:textbox inset="0,0,0,0">
                <w:txbxContent>
                  <w:p>
                    <w:pPr>
                      <w:spacing w:line="227" w:lineRule="exact" w:before="0"/>
                      <w:ind w:left="0" w:right="0" w:firstLine="0"/>
                      <w:jc w:val="left"/>
                      <w:rPr>
                        <w:rFonts w:ascii="Swis721 BT"/>
                        <w:b/>
                        <w:sz w:val="19"/>
                      </w:rPr>
                    </w:pPr>
                    <w:r>
                      <w:rPr>
                        <w:rFonts w:ascii="Swis721 BT"/>
                        <w:b/>
                        <w:color w:val="FFFFFF"/>
                        <w:w w:val="99"/>
                        <w:sz w:val="19"/>
                      </w:rPr>
                      <w:t>S</w:t>
                    </w:r>
                  </w:p>
                </w:txbxContent>
              </v:textbox>
              <w10:wrap type="none"/>
            </v:shape>
            <w10:wrap type="none"/>
          </v:group>
        </w:pict>
      </w:r>
      <w:r>
        <w:rPr/>
        <w:pict>
          <v:group style="position:absolute;margin-left:.0pt;margin-top:9.727427pt;width:142.050pt;height:55.25pt;mso-position-horizontal-relative:page;mso-position-vertical-relative:paragraph;z-index:-255250432" coordorigin="0,195" coordsize="2841,1105">
            <v:shape style="position:absolute;left:0;top:194;width:2841;height:1105" coordorigin="0,195" coordsize="2841,1105" path="m2173,195l0,195,0,1299,2173,1299,2256,1294,2336,1282,2413,1263,2486,1236,2553,1203,2615,1164,2671,1120,2720,1070,2762,1017,2795,959,2820,898,2835,834,2840,767,2840,726,2835,659,2820,595,2795,534,2762,477,2720,423,2671,373,2615,329,2553,290,2486,257,2413,230,2336,211,2256,199,2173,195xe" filled="true" fillcolor="#14377d" stroked="false">
              <v:path arrowok="t"/>
              <v:fill type="solid"/>
            </v:shape>
            <v:shape style="position:absolute;left:0;top:194;width:2841;height:1105" type="#_x0000_t202" filled="false" stroked="false">
              <v:textbox inset="0,0,0,0">
                <w:txbxContent>
                  <w:p>
                    <w:pPr>
                      <w:spacing w:before="276"/>
                      <w:ind w:left="369" w:right="0" w:firstLine="0"/>
                      <w:jc w:val="left"/>
                      <w:rPr>
                        <w:b/>
                        <w:sz w:val="44"/>
                      </w:rPr>
                    </w:pPr>
                    <w:r>
                      <w:rPr>
                        <w:b/>
                        <w:color w:val="FFFFFF"/>
                        <w:sz w:val="44"/>
                      </w:rPr>
                      <w:t>Our Mission</w:t>
                    </w:r>
                  </w:p>
                </w:txbxContent>
              </v:textbox>
              <w10:wrap type="none"/>
            </v:shape>
            <w10:wrap type="none"/>
          </v:group>
        </w:pict>
      </w:r>
      <w:r>
        <w:rPr/>
        <w:pict>
          <v:shape style="position:absolute;margin-left:511.58429pt;margin-top:43.287487pt;width:7.2pt;height:9.5pt;mso-position-horizontal-relative:page;mso-position-vertical-relative:paragraph;z-index:-255244288;rotation:11" type="#_x0000_t136" fillcolor="#ffffff" stroked="f">
            <o:extrusion v:ext="view" autorotationcenter="t"/>
            <v:textpath style="font-family:&quot;Swis721 BT&quot;;font-size:9pt;v-text-kern:t;mso-text-shadow:auto;font-weight:bold" string="H"/>
            <w10:wrap type="none"/>
          </v:shape>
        </w:pict>
      </w:r>
      <w:r>
        <w:rPr/>
        <w:pict>
          <v:shape style="position:absolute;margin-left:518.489319pt;margin-top:44.834675pt;width:3.1pt;height:9.5pt;mso-position-horizontal-relative:page;mso-position-vertical-relative:paragraph;z-index:-255240192;rotation:22" type="#_x0000_t136" fillcolor="#ffffff" stroked="f">
            <o:extrusion v:ext="view" autorotationcenter="t"/>
            <v:textpath style="font-family:&quot;Swis721 BT&quot;;font-size:9pt;v-text-kern:t;mso-text-shadow:auto;font-weight:bold" string="I"/>
            <w10:wrap type="none"/>
          </v:shape>
        </w:pict>
      </w:r>
      <w:r>
        <w:rPr/>
        <w:pict>
          <v:shape style="position:absolute;margin-left:520.884705pt;margin-top:47.042248pt;width:6.85pt;height:9.5pt;mso-position-horizontal-relative:page;mso-position-vertical-relative:paragraph;z-index:-255239168;rotation:31" type="#_x0000_t136" fillcolor="#ffffff" stroked="f">
            <o:extrusion v:ext="view" autorotationcenter="t"/>
            <v:textpath style="font-family:&quot;Swis721 BT&quot;;font-size:9pt;v-text-kern:t;mso-text-shadow:auto;font-weight:bold" string="R"/>
            <w10:wrap type="none"/>
          </v:shape>
        </w:pict>
      </w:r>
      <w:r>
        <w:rPr/>
        <w:pict>
          <v:shape style="position:absolute;margin-left:526.352905pt;margin-top:51.278591pt;width:6.4pt;height:9.5pt;mso-position-horizontal-relative:page;mso-position-vertical-relative:paragraph;z-index:-255238144;rotation:44" type="#_x0000_t136" fillcolor="#ffffff" stroked="f">
            <o:extrusion v:ext="view" autorotationcenter="t"/>
            <v:textpath style="font-family:&quot;Swis721 BT&quot;;font-size:9pt;v-text-kern:t;mso-text-shadow:auto;font-weight:bold" string="E"/>
            <w10:wrap type="none"/>
          </v:shape>
        </w:pict>
      </w:r>
      <w:r>
        <w:rPr/>
        <w:pict>
          <v:shape style="position:absolute;margin-left:531.896008pt;margin-top:59.251353pt;width:6.4pt;height:9.5pt;mso-position-horizontal-relative:page;mso-position-vertical-relative:paragraph;z-index:-255237120;rotation:64" type="#_x0000_t136" fillcolor="#ffffff" stroked="f">
            <o:extrusion v:ext="view" autorotationcenter="t"/>
            <v:textpath style="font-family:&quot;Swis721 BT&quot;;font-size:9pt;v-text-kern:t;mso-text-shadow:auto;font-weight:bold" string="P"/>
            <w10:wrap type="none"/>
          </v:shape>
        </w:pict>
      </w:r>
      <w:r>
        <w:rPr/>
        <w:pict>
          <v:shape style="position:absolute;margin-left:533.379077pt;margin-top:65.437466pt;width:7.6pt;height:9.5pt;mso-position-horizontal-relative:page;mso-position-vertical-relative:paragraph;z-index:-255236096;rotation:78" type="#_x0000_t136" fillcolor="#ffffff" stroked="f">
            <o:extrusion v:ext="view" autorotationcenter="t"/>
            <v:textpath style="font-family:&quot;Swis721 BT&quot;;font-size:9pt;v-text-kern:t;mso-text-shadow:auto;font-weight:bold" string="O"/>
            <w10:wrap type="none"/>
          </v:shape>
        </w:pict>
      </w:r>
      <w:r>
        <w:rPr/>
        <w:pict>
          <v:shape style="position:absolute;margin-left:531.126526pt;margin-top:72.478813pt;width:13.4pt;height:7.55pt;mso-position-horizontal-relative:page;mso-position-vertical-relative:paragraph;z-index:-255235072" type="#_x0000_t202" filled="false" stroked="false">
            <v:textbox inset="0,0,0,0" style="layout-flow:vertical">
              <w:txbxContent>
                <w:p>
                  <w:pPr>
                    <w:spacing w:before="19"/>
                    <w:ind w:left="20" w:right="0" w:firstLine="0"/>
                    <w:jc w:val="left"/>
                    <w:rPr>
                      <w:rFonts w:ascii="Swis721 BT"/>
                      <w:b/>
                      <w:sz w:val="19"/>
                    </w:rPr>
                  </w:pPr>
                  <w:r>
                    <w:rPr>
                      <w:rFonts w:ascii="Swis721 BT"/>
                      <w:b/>
                      <w:color w:val="FFFFFF"/>
                      <w:w w:val="99"/>
                      <w:sz w:val="19"/>
                    </w:rPr>
                    <w:t>L</w:t>
                  </w:r>
                </w:p>
              </w:txbxContent>
            </v:textbox>
            <w10:wrap type="none"/>
          </v:shape>
        </w:pict>
      </w:r>
      <w:r>
        <w:rPr/>
        <w:pict>
          <v:shape style="position:absolute;margin-left:476.56626pt;margin-top:73.318918pt;width:6.95pt;height:9.5pt;mso-position-horizontal-relative:page;mso-position-vertical-relative:paragraph;z-index:-255228928;rotation:268" type="#_x0000_t136" fillcolor="#ffffff" stroked="f">
            <o:extrusion v:ext="view" autorotationcenter="t"/>
            <v:textpath style="font-family:&quot;Swis721 BT&quot;;font-size:9pt;v-text-kern:t;mso-text-shadow:auto;font-weight:bold" string="R"/>
            <w10:wrap type="none"/>
          </v:shape>
        </w:pict>
      </w:r>
      <w:r>
        <w:rPr/>
        <w:pict>
          <v:shape style="position:absolute;margin-left:477.409125pt;margin-top:67.51938pt;width:5.7pt;height:9.5pt;mso-position-horizontal-relative:page;mso-position-vertical-relative:paragraph;z-index:-255227904;rotation:279" type="#_x0000_t136" fillcolor="#ffffff" stroked="f">
            <o:extrusion v:ext="view" autorotationcenter="t"/>
            <v:textpath style="font-family:&quot;Swis721 BT&quot;;font-size:9pt;v-text-kern:t;mso-text-shadow:auto;font-weight:bold" string="T"/>
            <w10:wrap type="none"/>
          </v:shape>
        </w:pict>
      </w:r>
      <w:r>
        <w:rPr/>
        <w:pict>
          <v:shape style="position:absolute;margin-left:478.098694pt;margin-top:61.641071pt;width:7.25pt;height:9.5pt;mso-position-horizontal-relative:page;mso-position-vertical-relative:paragraph;z-index:-255226880;rotation:291" type="#_x0000_t136" fillcolor="#ffffff" stroked="f">
            <o:extrusion v:ext="view" autorotationcenter="t"/>
            <v:textpath style="font-family:&quot;Swis721 BT&quot;;font-size:9pt;v-text-kern:t;mso-text-shadow:auto;font-weight:bold" string="H"/>
            <w10:wrap type="none"/>
          </v:shape>
        </w:pict>
      </w:r>
      <w:r>
        <w:rPr/>
        <w:pict>
          <v:shape style="position:absolute;margin-left:482.649664pt;margin-top:54.360895pt;width:5.95pt;height:9.5pt;mso-position-horizontal-relative:page;mso-position-vertical-relative:paragraph;z-index:-255225856;rotation:307" type="#_x0000_t136" fillcolor="#ffffff" stroked="f">
            <o:extrusion v:ext="view" autorotationcenter="t"/>
            <v:textpath style="font-family:&quot;Swis721 BT&quot;;font-size:9pt;v-text-kern:t;mso-text-shadow:auto;font-weight:bold" string="Y"/>
            <w10:wrap type="none"/>
          </v:shape>
        </w:pict>
      </w:r>
      <w:r>
        <w:rPr/>
        <w:pict>
          <v:shape style="position:absolute;margin-left:485.751617pt;margin-top:50.055229pt;width:7.55pt;height:9.5pt;mso-position-horizontal-relative:page;mso-position-vertical-relative:paragraph;z-index:-255224832;rotation:318" type="#_x0000_t136" fillcolor="#ffffff" stroked="f">
            <o:extrusion v:ext="view" autorotationcenter="t"/>
            <v:textpath style="font-family:&quot;Swis721 BT&quot;;font-size:9pt;v-text-kern:t;mso-text-shadow:auto;font-weight:bold" string="O"/>
            <w10:wrap type="none"/>
          </v:shape>
        </w:pict>
      </w:r>
      <w:r>
        <w:rPr/>
        <w:pict>
          <v:shape style="position:absolute;margin-left:491.918427pt;margin-top:45.965828pt;width:6.9pt;height:9.5pt;mso-position-horizontal-relative:page;mso-position-vertical-relative:paragraph;z-index:-255223808;rotation:332" type="#_x0000_t136" fillcolor="#ffffff" stroked="f">
            <o:extrusion v:ext="view" autorotationcenter="t"/>
            <v:textpath style="font-family:&quot;Swis721 BT&quot;;font-size:9pt;v-text-kern:t;mso-text-shadow:auto;font-weight:bold" string="R"/>
            <w10:wrap type="none"/>
          </v:shape>
        </w:pict>
      </w:r>
      <w:r>
        <w:rPr/>
        <w:pict>
          <v:shape style="position:absolute;margin-left:498.262665pt;margin-top:43.52927pt;width:6.75pt;height:9.5pt;mso-position-horizontal-relative:page;mso-position-vertical-relative:paragraph;z-index:-255220736;rotation:346" type="#_x0000_t136" fillcolor="#ffffff" stroked="f">
            <o:extrusion v:ext="view" autorotationcenter="t"/>
            <v:textpath style="font-family:&quot;Swis721 BT&quot;;font-size:9pt;v-text-kern:t;mso-text-shadow:auto;font-weight:bold" string="K"/>
            <w10:wrap type="none"/>
          </v:shape>
        </w:pict>
      </w:r>
      <w:r>
        <w:rPr>
          <w:color w:val="14377D"/>
        </w:rPr>
        <w:t>To keep people safe and feeling safe</w:t>
      </w:r>
    </w:p>
    <w:p>
      <w:pPr>
        <w:spacing w:line="230" w:lineRule="auto" w:before="480"/>
        <w:ind w:left="3042" w:right="3053" w:firstLine="0"/>
        <w:jc w:val="left"/>
        <w:rPr>
          <w:rFonts w:ascii="Myriad Pro"/>
          <w:b/>
          <w:sz w:val="53"/>
        </w:rPr>
      </w:pPr>
      <w:r>
        <w:rPr/>
        <w:pict>
          <v:group style="position:absolute;margin-left:.0pt;margin-top:28.791176pt;width:142.050pt;height:55.25pt;mso-position-horizontal-relative:page;mso-position-vertical-relative:paragraph;z-index:-255247360" coordorigin="0,576" coordsize="2841,1105">
            <v:shape style="position:absolute;left:0;top:575;width:2841;height:1105" coordorigin="0,576" coordsize="2841,1105" path="m2173,576l0,576,0,1680,2173,1680,2256,1676,2336,1664,2413,1644,2486,1617,2553,1584,2615,1545,2671,1501,2720,1452,2762,1398,2795,1340,2820,1279,2835,1215,2840,1149,2840,1107,2835,1041,2820,977,2795,916,2762,858,2720,804,2671,755,2615,710,2553,671,2486,638,2413,612,2336,592,2256,580,2173,576xe" filled="true" fillcolor="#14377d" stroked="false">
              <v:path arrowok="t"/>
              <v:fill type="solid"/>
            </v:shape>
            <v:shape style="position:absolute;left:0;top:575;width:2841;height:1105" type="#_x0000_t202" filled="false" stroked="false">
              <v:textbox inset="0,0,0,0">
                <w:txbxContent>
                  <w:p>
                    <w:pPr>
                      <w:spacing w:before="276"/>
                      <w:ind w:left="403" w:right="0" w:firstLine="0"/>
                      <w:jc w:val="left"/>
                      <w:rPr>
                        <w:b/>
                        <w:sz w:val="44"/>
                      </w:rPr>
                    </w:pPr>
                    <w:r>
                      <w:rPr>
                        <w:b/>
                        <w:color w:val="FFFFFF"/>
                        <w:sz w:val="44"/>
                      </w:rPr>
                      <w:t>Our Vision</w:t>
                    </w:r>
                  </w:p>
                </w:txbxContent>
              </v:textbox>
              <w10:wrap type="none"/>
            </v:shape>
            <w10:wrap type="none"/>
          </v:group>
        </w:pict>
      </w:r>
      <w:r>
        <w:rPr/>
        <w:pict>
          <v:shape style="position:absolute;margin-left:535.939075pt;margin-top:10.406132pt;width:3.1pt;height:9.5pt;mso-position-horizontal-relative:page;mso-position-vertical-relative:paragraph;z-index:-255234048;rotation:98" type="#_x0000_t136" fillcolor="#ffffff" stroked="f">
            <o:extrusion v:ext="view" autorotationcenter="t"/>
            <v:textpath style="font-family:&quot;Swis721 BT&quot;;font-size:9pt;v-text-kern:t;mso-text-shadow:auto;font-weight:bold" string="I"/>
            <w10:wrap type="none"/>
          </v:shape>
        </w:pict>
      </w:r>
      <w:r>
        <w:rPr/>
        <w:pict>
          <v:shape style="position:absolute;margin-left:532.873547pt;margin-top:14.831521pt;width:7.15pt;height:9.5pt;mso-position-horizontal-relative:page;mso-position-vertical-relative:paragraph;z-index:-255233024;rotation:107" type="#_x0000_t136" fillcolor="#ffffff" stroked="f">
            <o:extrusion v:ext="view" autorotationcenter="t"/>
            <v:textpath style="font-family:&quot;Swis721 BT&quot;;font-size:9pt;v-text-kern:t;mso-text-shadow:auto;font-weight:bold" string="C"/>
            <w10:wrap type="none"/>
          </v:shape>
        </w:pict>
      </w:r>
      <w:r>
        <w:rPr/>
        <w:pict>
          <v:shape style="position:absolute;margin-left:530.651062pt;margin-top:20.744396pt;width:6.25pt;height:9.5pt;mso-position-horizontal-relative:page;mso-position-vertical-relative:paragraph;z-index:-255232000;rotation:121" type="#_x0000_t136" fillcolor="#ffffff" stroked="f">
            <o:extrusion v:ext="view" autorotationcenter="t"/>
            <v:textpath style="font-family:&quot;Swis721 BT&quot;;font-size:9pt;v-text-kern:t;mso-text-shadow:auto;font-weight:bold" string="E"/>
            <w10:wrap type="none"/>
          </v:shape>
        </w:pict>
      </w:r>
      <w:r>
        <w:rPr/>
        <w:pict>
          <v:shape style="position:absolute;margin-left:480.602618pt;margin-top:20.947490pt;width:7.1pt;height:9.5pt;mso-position-horizontal-relative:page;mso-position-vertical-relative:paragraph;z-index:-255230976;rotation:239" type="#_x0000_t136" fillcolor="#ffffff" stroked="f">
            <o:extrusion v:ext="view" autorotationcenter="t"/>
            <v:textpath style="font-family:&quot;Swis721 BT&quot;;font-size:9pt;v-text-kern:t;mso-text-shadow:auto;font-weight:bold" string="N"/>
            <w10:wrap type="none"/>
          </v:shape>
        </w:pict>
      </w:r>
      <w:r>
        <w:rPr/>
        <w:pict>
          <v:shape style="position:absolute;margin-left:477.507043pt;margin-top:14.566682pt;width:7.55pt;height:9.5pt;mso-position-horizontal-relative:page;mso-position-vertical-relative:paragraph;z-index:-255229952;rotation:253" type="#_x0000_t136" fillcolor="#ffffff" stroked="f">
            <o:extrusion v:ext="view" autorotationcenter="t"/>
            <v:textpath style="font-family:&quot;Swis721 BT&quot;;font-size:9pt;v-text-kern:t;mso-text-shadow:auto;font-weight:bold" string="O"/>
            <w10:wrap type="none"/>
          </v:shape>
        </w:pict>
      </w:r>
      <w:r>
        <w:rPr>
          <w:rFonts w:ascii="Myriad Pro"/>
          <w:b/>
          <w:color w:val="14377D"/>
          <w:sz w:val="53"/>
        </w:rPr>
        <w:t>To deliver an exemplary police service</w:t>
      </w:r>
    </w:p>
    <w:p>
      <w:pPr>
        <w:pStyle w:val="BodyText"/>
        <w:rPr>
          <w:rFonts w:ascii="Myriad Pro"/>
          <w:b/>
          <w:sz w:val="20"/>
        </w:rPr>
      </w:pPr>
    </w:p>
    <w:p>
      <w:pPr>
        <w:pStyle w:val="BodyText"/>
        <w:rPr>
          <w:rFonts w:ascii="Myriad Pro"/>
          <w:b/>
          <w:sz w:val="20"/>
        </w:rPr>
      </w:pPr>
    </w:p>
    <w:p>
      <w:pPr>
        <w:pStyle w:val="BodyText"/>
        <w:rPr>
          <w:rFonts w:ascii="Myriad Pro"/>
          <w:b/>
          <w:sz w:val="20"/>
        </w:rPr>
      </w:pPr>
    </w:p>
    <w:p>
      <w:pPr>
        <w:pStyle w:val="BodyText"/>
        <w:rPr>
          <w:rFonts w:ascii="Myriad Pro"/>
          <w:b/>
          <w:sz w:val="20"/>
        </w:rPr>
      </w:pPr>
    </w:p>
    <w:p>
      <w:pPr>
        <w:pStyle w:val="BodyText"/>
        <w:rPr>
          <w:rFonts w:ascii="Myriad Pro"/>
          <w:b/>
          <w:sz w:val="20"/>
        </w:rPr>
      </w:pPr>
    </w:p>
    <w:p>
      <w:pPr>
        <w:pStyle w:val="BodyText"/>
        <w:rPr>
          <w:rFonts w:ascii="Myriad Pro"/>
          <w:b/>
          <w:sz w:val="20"/>
        </w:rPr>
      </w:pPr>
    </w:p>
    <w:p>
      <w:pPr>
        <w:pStyle w:val="BodyText"/>
        <w:rPr>
          <w:rFonts w:ascii="Myriad Pro"/>
          <w:b/>
          <w:sz w:val="20"/>
        </w:rPr>
      </w:pPr>
    </w:p>
    <w:p>
      <w:pPr>
        <w:pStyle w:val="BodyText"/>
        <w:rPr>
          <w:rFonts w:ascii="Myriad Pro"/>
          <w:b/>
          <w:sz w:val="16"/>
        </w:rPr>
      </w:pPr>
    </w:p>
    <w:p>
      <w:pPr>
        <w:spacing w:line="264" w:lineRule="auto" w:before="131"/>
        <w:ind w:left="4164" w:right="3971" w:firstLine="866"/>
        <w:jc w:val="left"/>
        <w:rPr>
          <w:sz w:val="35"/>
        </w:rPr>
      </w:pPr>
      <w:r>
        <w:rPr/>
        <w:pict>
          <v:group style="position:absolute;margin-left:40.978748pt;margin-top:-47.745949pt;width:511.25pt;height:511.25pt;mso-position-horizontal-relative:page;mso-position-vertical-relative:paragraph;z-index:-255249408" coordorigin="820,-955" coordsize="10225,10225">
            <v:shape style="position:absolute;left:819;top:-955;width:10225;height:10225" type="#_x0000_t75" stroked="false">
              <v:imagedata r:id="rId18" o:title=""/>
            </v:shape>
            <v:shape style="position:absolute;left:2068;top:2209;width:7727;height:550" coordorigin="2069,2209" coordsize="7727,550" path="m9549,2209l2315,2209,2280,2276,2246,2343,2213,2410,2182,2479,2152,2548,2123,2617,2095,2688,2069,2758,9795,2758,9769,2688,9741,2617,9712,2548,9682,2479,9650,2410,9618,2343,9584,2276,9549,2209xe" filled="true" fillcolor="#8a0059" stroked="false">
              <v:path arrowok="t"/>
              <v:fill type="solid"/>
            </v:shape>
            <v:shape style="position:absolute;left:1968;top:5238;width:7928;height:551" coordorigin="1968,5239" coordsize="7928,551" path="m9896,5239l1968,5239,1991,5319,2016,5400,2042,5479,2069,5558,2098,5636,2129,5713,2161,5789,9703,5789,9735,5713,9765,5636,9795,5558,9822,5479,9848,5400,9873,5319,9896,5239xe" filled="true" fillcolor="#bc461b" stroked="false">
              <v:path arrowok="t"/>
              <v:fill type="solid"/>
            </v:shape>
            <v:line style="position:absolute" from="8695,6093" to="8695,6805" stroked="true" strokeweight="5.8884pt" strokecolor="#ffffff">
              <v:stroke dashstyle="solid"/>
            </v:line>
            <v:line style="position:absolute" from="8478,6311" to="8478,6805" stroked="true" strokeweight="5.8884pt" strokecolor="#ffffff">
              <v:stroke dashstyle="solid"/>
            </v:line>
            <v:line style="position:absolute" from="8272,6449" to="8272,6805" stroked="true" strokeweight="5.8884pt" strokecolor="#ffffff">
              <v:stroke dashstyle="solid"/>
            </v:line>
            <v:line style="position:absolute" from="8054,6535" to="8054,6805" stroked="true" strokeweight="5.88850pt" strokecolor="#ffffff">
              <v:stroke dashstyle="solid"/>
            </v:line>
            <v:line style="position:absolute" from="7945,6860" to="8787,6860" stroked="true" strokeweight="2.124053pt" strokecolor="#ffffff">
              <v:stroke dashstyle="solid"/>
            </v:line>
            <v:shape style="position:absolute;left:3112;top:1165;width:685;height:685" coordorigin="3113,1165" coordsize="685,685" path="m3273,1444l3255,1444,3238,1446,3222,1453,3207,1466,3199,1478,3195,1489,3193,1502,3193,1517,3179,1525,3164,1540,3149,1558,3139,1573,3128,1593,3121,1615,3115,1637,3113,1661,3113,1680,3114,1695,3118,1712,3123,1729,3130,1744,3134,1754,3139,1764,3151,1780,3157,1788,3168,1799,3171,1802,3175,1806,3191,1818,3208,1828,3226,1837,3245,1843,3259,1847,3270,1848,3282,1849,3296,1849,3309,1846,3320,1838,3329,1826,3332,1813,3332,1799,3331,1792,3322,1782,3309,1773,3297,1769,3285,1768,3270,1766,3227,1743,3200,1704,3193,1656,3210,1610,3215,1603,3221,1596,3237,1583,3238,1582,3250,1576,3299,1566,3442,1566,3437,1559,3425,1543,3411,1530,3404,1525,3281,1525,3273,1515,3273,1444xm3442,1566l3299,1566,3345,1581,3379,1616,3392,1664,3391,1680,3389,1694,3385,1707,3378,1720,3372,1729,3365,1738,3357,1745,3348,1752,3356,1763,3362,1766,3368,1785,3370,1796,3371,1806,3371,1813,3371,1822,3368,1832,3378,1829,3390,1821,3402,1813,3409,1806,3413,1803,3414,1802,3422,1795,3422,1793,3426,1790,3457,1743,3472,1688,3470,1631,3449,1576,3442,1566xm3761,1307l3749,1307,3740,1307,3730,1317,3719,1333,3716,1348,3714,1367,3704,1394,3689,1415,3669,1431,3643,1442,3613,1446,3466,1446,3472,1456,3483,1469,3495,1481,3506,1490,3512,1494,3517,1497,3524,1501,3570,1521,3620,1527,3670,1519,3715,1497,3718,1496,3724,1491,3726,1490,3731,1486,3732,1485,3734,1483,3741,1476,3747,1471,3753,1465,3761,1454,3777,1429,3789,1402,3795,1374,3797,1343,3794,1330,3785,1319,3774,1310,3761,1307xm3326,1444l3313,1444,3313,1515,3307,1525,3404,1525,3393,1517,3392,1497,3392,1496,3388,1479,3378,1464,3361,1451,3350,1447,3338,1445,3326,1444xm3622,1165l3605,1165,3591,1167,3578,1169,3562,1173,3554,1176,3549,1178,3542,1181,3534,1185,3524,1191,3514,1197,3507,1202,3495,1212,3485,1221,3476,1232,3466,1245,3445,1246,3428,1251,3413,1261,3400,1278,3396,1289,3394,1301,3394,1307,3393,1326,3452,1326,3468,1332,3474,1346,3468,1359,3452,1366,3393,1366,3394,1386,3395,1402,3401,1417,3415,1432,3419,1436,3419,1436,3429,1441,3431,1442,3446,1446,3453,1446,3613,1446,3576,1438,3545,1417,3523,1386,3515,1350,3516,1331,3521,1313,3528,1297,3539,1282,3546,1275,3554,1268,3562,1262,3573,1256,3597,1249,3621,1247,3767,1247,3762,1240,3755,1231,3748,1222,3739,1214,3717,1196,3688,1180,3655,1169,3622,1165xm3393,1326l3372,1326,3353,1327,3336,1333,3316,1343,3300,1357,3287,1375,3277,1396,3273,1419,3273,1444,3313,1444,3313,1431,3314,1423,3315,1413,3319,1403,3324,1393,3338,1378,3354,1370,3373,1366,3393,1366,3393,1326xm3767,1247l3621,1247,3646,1250,3668,1261,3676,1266,3679,1268,3691,1280,3695,1285,3700,1291,3705,1287,3709,1283,3715,1279,3730,1272,3748,1268,3765,1267,3779,1267,3779,1264,3772,1254,3769,1249,3767,1247xm3779,1267l3765,1267,3780,1271,3779,1267xe" filled="true" fillcolor="#ffffff" stroked="false">
              <v:path arrowok="t"/>
              <v:fill type="solid"/>
            </v:shape>
            <v:shape style="position:absolute;left:4419;top:8364;width:3073;height:715" type="#_x0000_t75" stroked="false">
              <v:imagedata r:id="rId19" o:title=""/>
            </v:shape>
            <v:shape style="position:absolute;left:10159;top:3183;width:682;height:2601" type="#_x0000_t75" stroked="false">
              <v:imagedata r:id="rId20" o:title=""/>
            </v:shape>
            <v:shape style="position:absolute;left:8742;top:3290;width:623;height:585" coordorigin="8742,3291" coordsize="623,585" path="m8910,3291l8910,3875m9194,3291l9194,3875m8742,3291l8742,3875m9365,3291l9365,3875e" filled="false" stroked="true" strokeweight="2.99990pt" strokecolor="#ffffff">
              <v:path arrowok="t"/>
              <v:stroke dashstyle="solid"/>
            </v:shape>
            <v:shape style="position:absolute;left:8644;top:3290;width:824;height:585" coordorigin="8645,3291" coordsize="824,585" path="m8645,3291l9469,3291m8645,3875l9469,3875e" filled="false" stroked="true" strokeweight="4pt" strokecolor="#ffffff">
              <v:path arrowok="t"/>
              <v:stroke dashstyle="solid"/>
            </v:shape>
            <v:shape style="position:absolute;left:8889;top:3480;width:329;height:395" type="#_x0000_t75" stroked="false">
              <v:imagedata r:id="rId21" o:title=""/>
            </v:shape>
            <w10:wrap type="none"/>
          </v:group>
        </w:pict>
      </w:r>
      <w:r>
        <w:rPr/>
        <w:pict>
          <v:shape style="position:absolute;margin-left:298.302582pt;margin-top:-43.208847pt;width:21.55pt;height:35pt;mso-position-horizontal-relative:page;mso-position-vertical-relative:paragraph;z-index:-255246336;rotation:4" type="#_x0000_t136" fillcolor="#ffffff" stroked="f">
            <o:extrusion v:ext="view" autorotationcenter="t"/>
            <v:textpath style="font-family:&quot;Calibri&quot;;font-size:35pt;v-text-kern:t;mso-text-shadow:auto;font-weight:bold" string="A"/>
            <w10:wrap type="none"/>
          </v:shape>
        </w:pict>
      </w:r>
      <w:r>
        <w:rPr/>
        <w:pict>
          <v:shape style="position:absolute;margin-left:320.077179pt;margin-top:-41.438637pt;width:15.05pt;height:35pt;mso-position-horizontal-relative:page;mso-position-vertical-relative:paragraph;z-index:-255245312;rotation:7" type="#_x0000_t136" fillcolor="#ffffff" stroked="f">
            <o:extrusion v:ext="view" autorotationcenter="t"/>
            <v:textpath style="font-family:&quot;Calibri&quot;;font-size:35pt;v-text-kern:t;mso-text-shadow:auto;font-weight:bold" string="L"/>
            <w10:wrap type="none"/>
          </v:shape>
        </w:pict>
      </w:r>
      <w:r>
        <w:rPr/>
        <w:pict>
          <v:shape style="position:absolute;margin-left:334.626404pt;margin-top:-38.159832pt;width:23.7pt;height:35pt;mso-position-horizontal-relative:page;mso-position-vertical-relative:paragraph;z-index:-255243264;rotation:12" type="#_x0000_t136" fillcolor="#ffffff" stroked="f">
            <o:extrusion v:ext="view" autorotationcenter="t"/>
            <v:textpath style="font-family:&quot;Calibri&quot;;font-size:35pt;v-text-kern:t;mso-text-shadow:auto;font-weight:bold" string="U"/>
            <w10:wrap type="none"/>
          </v:shape>
        </w:pict>
      </w:r>
      <w:r>
        <w:rPr/>
        <w:pict>
          <v:shape style="position:absolute;margin-left:358.095245pt;margin-top:-32.76413pt;width:17.7pt;height:35pt;mso-position-horizontal-relative:page;mso-position-vertical-relative:paragraph;z-index:-255242240;rotation:18" type="#_x0000_t136" fillcolor="#ffffff" stroked="f">
            <o:extrusion v:ext="view" autorotationcenter="t"/>
            <v:textpath style="font-family:&quot;Calibri&quot;;font-size:35pt;v-text-kern:t;mso-text-shadow:auto;font-weight:bold" string="E"/>
            <w10:wrap type="none"/>
          </v:shape>
        </w:pict>
      </w:r>
      <w:r>
        <w:rPr/>
        <w:pict>
          <v:shape style="position:absolute;margin-left:374.485352pt;margin-top:-27.000168pt;width:17pt;height:35pt;mso-position-horizontal-relative:page;mso-position-vertical-relative:paragraph;z-index:-255241216;rotation:21" type="#_x0000_t136" fillcolor="#ffffff" stroked="f">
            <o:extrusion v:ext="view" autorotationcenter="t"/>
            <v:textpath style="font-family:&quot;Calibri&quot;;font-size:35pt;v-text-kern:t;mso-text-shadow:auto;font-weight:bold" string="S"/>
            <w10:wrap type="none"/>
          </v:shape>
        </w:pict>
      </w:r>
      <w:r>
        <w:rPr/>
        <w:pict>
          <v:shape style="position:absolute;margin-left:201.656708pt;margin-top:-28.376699pt;width:24.1pt;height:35pt;mso-position-horizontal-relative:page;mso-position-vertical-relative:paragraph;z-index:-255222784;rotation:339" type="#_x0000_t136" fillcolor="#ffffff" stroked="f">
            <o:extrusion v:ext="view" autorotationcenter="t"/>
            <v:textpath style="font-family:&quot;Calibri&quot;;font-size:35pt;v-text-kern:t;mso-text-shadow:auto;font-weight:bold" string="O"/>
            <w10:wrap type="none"/>
          </v:shape>
        </w:pict>
      </w:r>
      <w:r>
        <w:rPr/>
        <w:pict>
          <v:shape style="position:absolute;margin-left:225.200333pt;margin-top:-35.850533pt;width:23.6pt;height:35pt;mso-position-horizontal-relative:page;mso-position-vertical-relative:paragraph;z-index:-255221760;rotation:345" type="#_x0000_t136" fillcolor="#ffffff" stroked="f">
            <o:extrusion v:ext="view" autorotationcenter="t"/>
            <v:textpath style="font-family:&quot;Calibri&quot;;font-size:35pt;v-text-kern:t;mso-text-shadow:auto;font-weight:bold" string="U"/>
            <w10:wrap type="none"/>
          </v:shape>
        </w:pict>
      </w:r>
      <w:r>
        <w:rPr/>
        <w:pict>
          <v:shape style="position:absolute;margin-left:249.066071pt;margin-top:-40.489578pt;width:19.850pt;height:35pt;mso-position-horizontal-relative:page;mso-position-vertical-relative:paragraph;z-index:-255219712;rotation:350" type="#_x0000_t136" fillcolor="#ffffff" stroked="f">
            <o:extrusion v:ext="view" autorotationcenter="t"/>
            <v:textpath style="font-family:&quot;Calibri&quot;;font-size:35pt;v-text-kern:t;mso-text-shadow:auto;font-weight:bold" string="R"/>
            <w10:wrap type="none"/>
          </v:shape>
        </w:pict>
      </w:r>
      <w:r>
        <w:rPr/>
        <w:pict>
          <v:shape style="position:absolute;margin-left:278.210083pt;margin-top:-43.347832pt;width:21.1pt;height:35pt;mso-position-horizontal-relative:page;mso-position-vertical-relative:paragraph;z-index:-255218688;rotation:359" type="#_x0000_t136" fillcolor="#ffffff" stroked="f">
            <o:extrusion v:ext="view" autorotationcenter="t"/>
            <v:textpath style="font-family:&quot;Calibri&quot;;font-size:35pt;v-text-kern:t;mso-text-shadow:auto;font-weight:bold" string="V"/>
            <w10:wrap type="none"/>
          </v:shape>
        </w:pict>
      </w:r>
      <w:r>
        <w:rPr>
          <w:b/>
          <w:color w:val="FFFFFF"/>
          <w:sz w:val="35"/>
        </w:rPr>
        <w:t>Our Purpose </w:t>
      </w:r>
      <w:r>
        <w:rPr>
          <w:color w:val="FFFFFF"/>
          <w:sz w:val="35"/>
        </w:rPr>
        <w:t>Prevent &amp; detect crime Safeguard the vulnerable</w:t>
      </w:r>
    </w:p>
    <w:p>
      <w:pPr>
        <w:pStyle w:val="Heading2"/>
        <w:spacing w:line="384" w:lineRule="exact"/>
        <w:ind w:left="4798"/>
      </w:pPr>
      <w:r>
        <w:rPr>
          <w:color w:val="FFFFFF"/>
        </w:rPr>
        <w:t>Serve the public</w:t>
      </w:r>
    </w:p>
    <w:p>
      <w:pPr>
        <w:spacing w:line="264" w:lineRule="auto" w:before="349"/>
        <w:ind w:left="4523" w:right="4545" w:firstLine="401"/>
        <w:jc w:val="left"/>
        <w:rPr>
          <w:sz w:val="35"/>
        </w:rPr>
      </w:pPr>
      <w:r>
        <w:rPr>
          <w:b/>
          <w:color w:val="FFFFFF"/>
          <w:sz w:val="35"/>
        </w:rPr>
        <w:t>Our Approach </w:t>
      </w:r>
      <w:r>
        <w:rPr>
          <w:color w:val="FFFFFF"/>
          <w:sz w:val="35"/>
        </w:rPr>
        <w:t>Be victim focused </w:t>
      </w:r>
      <w:r>
        <w:rPr>
          <w:color w:val="FFFFFF"/>
          <w:spacing w:val="-4"/>
          <w:sz w:val="35"/>
        </w:rPr>
        <w:t>Work </w:t>
      </w:r>
      <w:r>
        <w:rPr>
          <w:color w:val="FFFFFF"/>
          <w:sz w:val="35"/>
        </w:rPr>
        <w:t>in</w:t>
      </w:r>
      <w:r>
        <w:rPr>
          <w:color w:val="FFFFFF"/>
          <w:spacing w:val="13"/>
          <w:sz w:val="35"/>
        </w:rPr>
        <w:t> </w:t>
      </w:r>
      <w:r>
        <w:rPr>
          <w:color w:val="FFFFFF"/>
          <w:spacing w:val="-3"/>
          <w:sz w:val="35"/>
        </w:rPr>
        <w:t>partnership</w:t>
      </w:r>
    </w:p>
    <w:p>
      <w:pPr>
        <w:pStyle w:val="Heading2"/>
        <w:spacing w:line="384" w:lineRule="exact"/>
        <w:ind w:left="4783"/>
      </w:pPr>
      <w:r>
        <w:rPr>
          <w:color w:val="FFFFFF"/>
        </w:rPr>
        <w:t>Target offenders</w:t>
      </w:r>
    </w:p>
    <w:p>
      <w:pPr>
        <w:spacing w:before="0"/>
        <w:ind w:left="3742" w:right="3053" w:hanging="360"/>
        <w:jc w:val="left"/>
        <w:rPr>
          <w:sz w:val="35"/>
        </w:rPr>
      </w:pPr>
      <w:r>
        <w:rPr>
          <w:color w:val="FFFFFF"/>
          <w:sz w:val="35"/>
        </w:rPr>
        <w:t>Intervene early &amp; solve the problem Be inclusive &amp; respect diversity</w:t>
      </w:r>
    </w:p>
    <w:p>
      <w:pPr>
        <w:spacing w:before="384"/>
        <w:ind w:left="4126" w:right="4156" w:firstLine="0"/>
        <w:jc w:val="center"/>
        <w:rPr>
          <w:b/>
          <w:sz w:val="35"/>
        </w:rPr>
      </w:pPr>
      <w:r>
        <w:rPr>
          <w:b/>
          <w:color w:val="FFFFFF"/>
          <w:sz w:val="35"/>
        </w:rPr>
        <w:t>Our Attributes</w:t>
      </w:r>
    </w:p>
    <w:p>
      <w:pPr>
        <w:pStyle w:val="Heading2"/>
        <w:spacing w:before="85"/>
        <w:ind w:left="4126" w:right="4157"/>
        <w:jc w:val="center"/>
      </w:pPr>
      <w:r>
        <w:rPr>
          <w:color w:val="FFFFFF"/>
        </w:rPr>
        <w:t>People, skills &amp; wellbeing Data &amp; performance Technology &amp; assets Leadership &amp; standards Business planning</w:t>
      </w:r>
    </w:p>
    <w:p>
      <w:pPr>
        <w:spacing w:after="0"/>
        <w:jc w:val="center"/>
        <w:sectPr>
          <w:footerReference w:type="default" r:id="rId16"/>
          <w:pgSz w:w="11910" w:h="16840"/>
          <w:pgMar w:footer="0" w:header="0" w:top="0" w:bottom="280" w:left="0" w:right="0"/>
        </w:sectPr>
      </w:pPr>
    </w:p>
    <w:p>
      <w:pPr>
        <w:spacing w:before="6"/>
        <w:ind w:left="1308" w:right="1308" w:firstLine="0"/>
        <w:jc w:val="center"/>
        <w:rPr>
          <w:b/>
          <w:sz w:val="32"/>
        </w:rPr>
      </w:pPr>
      <w:r>
        <w:rPr>
          <w:b/>
          <w:sz w:val="32"/>
        </w:rPr>
        <w:t>Force Management Statement Summary</w:t>
      </w:r>
    </w:p>
    <w:p>
      <w:pPr>
        <w:pStyle w:val="BodyText"/>
        <w:rPr>
          <w:b/>
          <w:sz w:val="32"/>
        </w:rPr>
      </w:pPr>
    </w:p>
    <w:p>
      <w:pPr>
        <w:pStyle w:val="BodyText"/>
        <w:spacing w:before="1"/>
        <w:ind w:left="1298"/>
      </w:pPr>
      <w:r>
        <w:rPr/>
        <w:t>The summary has been split into three parts:</w:t>
      </w:r>
    </w:p>
    <w:p>
      <w:pPr>
        <w:pStyle w:val="ListParagraph"/>
        <w:numPr>
          <w:ilvl w:val="0"/>
          <w:numId w:val="1"/>
        </w:numPr>
        <w:tabs>
          <w:tab w:pos="1659" w:val="left" w:leader="none"/>
        </w:tabs>
        <w:spacing w:line="240" w:lineRule="auto" w:before="41" w:after="0"/>
        <w:ind w:left="1658" w:right="0" w:hanging="361"/>
        <w:jc w:val="left"/>
        <w:rPr>
          <w:sz w:val="22"/>
        </w:rPr>
      </w:pPr>
      <w:r>
        <w:rPr>
          <w:sz w:val="22"/>
        </w:rPr>
        <w:t>A summary of each chapter highlighting the demands and identified</w:t>
      </w:r>
      <w:r>
        <w:rPr>
          <w:spacing w:val="-15"/>
          <w:sz w:val="22"/>
        </w:rPr>
        <w:t> </w:t>
      </w:r>
      <w:r>
        <w:rPr>
          <w:sz w:val="22"/>
        </w:rPr>
        <w:t>risks</w:t>
      </w:r>
    </w:p>
    <w:p>
      <w:pPr>
        <w:pStyle w:val="ListParagraph"/>
        <w:numPr>
          <w:ilvl w:val="0"/>
          <w:numId w:val="1"/>
        </w:numPr>
        <w:tabs>
          <w:tab w:pos="1659" w:val="left" w:leader="none"/>
        </w:tabs>
        <w:spacing w:line="240" w:lineRule="auto" w:before="38" w:after="0"/>
        <w:ind w:left="1658" w:right="0" w:hanging="361"/>
        <w:jc w:val="left"/>
        <w:rPr>
          <w:sz w:val="22"/>
        </w:rPr>
      </w:pPr>
      <w:r>
        <w:rPr>
          <w:sz w:val="22"/>
        </w:rPr>
        <w:t>A strategic risk</w:t>
      </w:r>
      <w:r>
        <w:rPr>
          <w:spacing w:val="-3"/>
          <w:sz w:val="22"/>
        </w:rPr>
        <w:t> </w:t>
      </w:r>
      <w:r>
        <w:rPr>
          <w:sz w:val="22"/>
        </w:rPr>
        <w:t>assessment</w:t>
      </w:r>
    </w:p>
    <w:p>
      <w:pPr>
        <w:pStyle w:val="ListParagraph"/>
        <w:numPr>
          <w:ilvl w:val="0"/>
          <w:numId w:val="1"/>
        </w:numPr>
        <w:tabs>
          <w:tab w:pos="1659" w:val="left" w:leader="none"/>
        </w:tabs>
        <w:spacing w:line="276" w:lineRule="auto" w:before="41" w:after="0"/>
        <w:ind w:left="1658" w:right="1191" w:hanging="361"/>
        <w:jc w:val="left"/>
        <w:rPr>
          <w:sz w:val="22"/>
        </w:rPr>
      </w:pPr>
      <w:r>
        <w:rPr>
          <w:sz w:val="22"/>
        </w:rPr>
        <w:t>A summary of how the force is addressing crime reduction aligned to the national outcome measures for the governments beating crime</w:t>
      </w:r>
      <w:r>
        <w:rPr>
          <w:spacing w:val="-3"/>
          <w:sz w:val="22"/>
        </w:rPr>
        <w:t> </w:t>
      </w:r>
      <w:r>
        <w:rPr>
          <w:sz w:val="22"/>
        </w:rPr>
        <w:t>plan.</w:t>
      </w:r>
    </w:p>
    <w:p>
      <w:pPr>
        <w:pStyle w:val="BodyText"/>
        <w:spacing w:before="6"/>
        <w:rPr>
          <w:sz w:val="16"/>
        </w:rPr>
      </w:pPr>
    </w:p>
    <w:p>
      <w:pPr>
        <w:pStyle w:val="Heading3"/>
        <w:ind w:left="1308" w:right="1316"/>
        <w:jc w:val="center"/>
      </w:pPr>
      <w:r>
        <w:rPr/>
        <w:t>Part 1</w:t>
      </w:r>
      <w:r>
        <w:rPr>
          <w:b w:val="0"/>
          <w:sz w:val="22"/>
        </w:rPr>
        <w:t>: </w:t>
      </w:r>
      <w:r>
        <w:rPr/>
        <w:t>FMS summary of each chapter highlighting demands and identified risks.</w:t>
      </w:r>
    </w:p>
    <w:p>
      <w:pPr>
        <w:pStyle w:val="BodyText"/>
        <w:spacing w:before="11"/>
        <w:rPr>
          <w:b/>
          <w:sz w:val="18"/>
        </w:rPr>
      </w:pPr>
      <w:r>
        <w:rPr/>
        <w:pict>
          <v:shape style="position:absolute;margin-left:65.149902pt;margin-top:15.006939pt;width:471pt;height:.1pt;mso-position-horizontal-relative:page;mso-position-vertical-relative:paragraph;z-index:-251591680;mso-wrap-distance-left:0;mso-wrap-distance-right:0" coordorigin="1303,300" coordsize="9420,0" path="m1303,300l10723,300e" filled="false" stroked="true" strokeweight="3pt" strokecolor="#1771b8">
            <v:path arrowok="t"/>
            <v:stroke dashstyle="solid"/>
            <w10:wrap type="topAndBottom"/>
          </v:shape>
        </w:pict>
      </w:r>
    </w:p>
    <w:p>
      <w:pPr>
        <w:pStyle w:val="BodyText"/>
        <w:spacing w:before="6"/>
        <w:rPr>
          <w:b/>
          <w:sz w:val="26"/>
        </w:rPr>
      </w:pPr>
    </w:p>
    <w:p>
      <w:pPr>
        <w:pStyle w:val="BodyText"/>
        <w:ind w:left="1298" w:right="1353"/>
        <w:jc w:val="both"/>
      </w:pPr>
      <w:r>
        <w:rPr/>
        <w:t>This FMS is made up of 12 chapters and the detail of each is described in the appendix to this summary. Each section has been assessed to understand our current and future position based upon the demand the force is expected to encounter.</w:t>
      </w:r>
    </w:p>
    <w:p>
      <w:pPr>
        <w:pStyle w:val="BodyText"/>
        <w:spacing w:before="1"/>
      </w:pPr>
    </w:p>
    <w:p>
      <w:pPr>
        <w:pStyle w:val="BodyText"/>
        <w:ind w:left="1297" w:right="1159"/>
      </w:pPr>
      <w:r>
        <w:rPr/>
        <w:pict>
          <v:shape style="position:absolute;margin-left:392.072693pt;margin-top:135.231033pt;width:24pt;height:60.85pt;mso-position-horizontal-relative:page;mso-position-vertical-relative:paragraph;z-index:251728896" type="#_x0000_t202" filled="false" stroked="false">
            <v:textbox inset="0,0,0,0" style="layout-flow:vertical;mso-layout-flow-alt:bottom-to-top">
              <w:txbxContent>
                <w:p>
                  <w:pPr>
                    <w:spacing w:line="468" w:lineRule="exact" w:before="0"/>
                    <w:ind w:left="20" w:right="0" w:firstLine="0"/>
                    <w:jc w:val="left"/>
                    <w:rPr>
                      <w:sz w:val="44"/>
                    </w:rPr>
                  </w:pPr>
                  <w:r>
                    <w:rPr>
                      <w:color w:val="FFFFFF"/>
                      <w:sz w:val="44"/>
                    </w:rPr>
                    <w:t>Future</w:t>
                  </w:r>
                </w:p>
              </w:txbxContent>
            </v:textbox>
            <w10:wrap type="none"/>
          </v:shape>
        </w:pict>
      </w:r>
      <w:r>
        <w:rPr/>
        <w:t>In assessing the demand the force expects to face and in generating the key risks to the force over the next business and financial planning cycle, consideration has not only been given to current demand but also future demand and past (non-recent hidden demand or failure demand). Delivery of policing services to the communities needs to map how it will balance the current needs of the communities, put plans in place to reduce the future needs of the community and the future growth in new or emerging areas of demand and also deal with those crimes that have remained unreported until now. This also needs to be delivered within a defined financial envelope (Chapter 1), enabled through effective support services (Chapters 10, 11 and 12), whilst maintaining the wellbeing of the workforce (Chapter 2), with effective tools and technology to maximise productivity within a sustainable infrastructure.</w:t>
      </w:r>
    </w:p>
    <w:p>
      <w:pPr>
        <w:pStyle w:val="BodyText"/>
        <w:rPr>
          <w:sz w:val="20"/>
        </w:rPr>
      </w:pPr>
    </w:p>
    <w:p>
      <w:pPr>
        <w:spacing w:after="0"/>
        <w:rPr>
          <w:sz w:val="20"/>
        </w:rPr>
        <w:sectPr>
          <w:footerReference w:type="default" r:id="rId22"/>
          <w:pgSz w:w="11910" w:h="16840"/>
          <w:pgMar w:footer="443" w:header="0" w:top="820" w:bottom="640" w:left="0" w:right="0"/>
          <w:pgNumType w:start="5"/>
        </w:sectPr>
      </w:pPr>
    </w:p>
    <w:p>
      <w:pPr>
        <w:pStyle w:val="BodyText"/>
        <w:spacing w:before="5"/>
        <w:rPr>
          <w:sz w:val="19"/>
        </w:rPr>
      </w:pPr>
    </w:p>
    <w:p>
      <w:pPr>
        <w:spacing w:line="216" w:lineRule="auto" w:before="0"/>
        <w:ind w:left="1897" w:right="0" w:firstLine="0"/>
        <w:jc w:val="left"/>
        <w:rPr>
          <w:sz w:val="18"/>
        </w:rPr>
      </w:pPr>
      <w:r>
        <w:rPr/>
        <w:pict>
          <v:group style="position:absolute;margin-left:63.786098pt;margin-top:-16.332710pt;width:476.95pt;height:189.95pt;mso-position-horizontal-relative:page;mso-position-vertical-relative:paragraph;z-index:-255216640" coordorigin="1276,-327" coordsize="9539,3799">
            <v:shape style="position:absolute;left:1275;top:-320;width:3108;height:3791" coordorigin="1276,-319" coordsize="3108,3791" path="m4227,-319l1431,-319,1371,-307,1321,-274,1288,-224,1276,-164,1276,3316,1288,3377,1321,3426,1371,3459,1431,3472,4227,3472,4288,3459,4337,3426,4371,3377,4383,3316,4383,-164,4371,-224,4337,-274,4288,-307,4227,-319xe" filled="true" fillcolor="#5b9bd4" stroked="false">
              <v:path arrowok="t"/>
              <v:fill type="solid"/>
            </v:shape>
            <v:shape style="position:absolute;left:4491;top:-317;width:3108;height:3789" coordorigin="4491,-317" coordsize="3108,3789" path="m7443,-317l4647,-317,4586,-305,4537,-271,4504,-222,4491,-161,4491,3316,4504,3377,4537,3426,4586,3459,4647,3472,7443,3472,7504,3459,7553,3426,7586,3377,7599,3316,7599,-161,7586,-222,7553,-271,7504,-305,7443,-317xe" filled="true" fillcolor="#4dc58d" stroked="false">
              <v:path arrowok="t"/>
              <v:fill type="solid"/>
            </v:shape>
            <v:shape style="position:absolute;left:4274;top:1762;width:467;height:548" coordorigin="4274,1763" coordsize="467,548" path="m4274,1763l4274,2310,4740,2037,4274,1763xe" filled="true" fillcolor="#ffffff" stroked="false">
              <v:path arrowok="t"/>
              <v:fill type="solid"/>
            </v:shape>
            <v:shape style="position:absolute;left:4274;top:1762;width:467;height:548" coordorigin="4274,1763" coordsize="467,548" path="m4274,1763l4740,2037,4274,2310,4274,1763xe" filled="false" stroked="true" strokeweight="1pt" strokecolor="#5b9bd4">
              <v:path arrowok="t"/>
              <v:stroke dashstyle="solid"/>
            </v:shape>
            <v:shape style="position:absolute;left:7707;top:-327;width:3108;height:3799" coordorigin="7707,-327" coordsize="3108,3799" path="m10659,-327l7863,-327,7802,-314,7753,-281,7719,-232,7707,-171,7707,3316,7719,3377,7753,3426,7802,3459,7863,3472,10659,3472,10719,3459,10769,3426,10802,3377,10814,3316,10814,-171,10802,-232,10769,-281,10719,-314,10659,-327xe" filled="true" fillcolor="#6fac46" stroked="false">
              <v:path arrowok="t"/>
              <v:fill type="solid"/>
            </v:shape>
            <v:shape style="position:absolute;left:7489;top:1762;width:467;height:548" coordorigin="7490,1763" coordsize="467,548" path="m7490,1763l7490,2310,7956,2037,7490,1763xe" filled="true" fillcolor="#ffffff" stroked="false">
              <v:path arrowok="t"/>
              <v:fill type="solid"/>
            </v:shape>
            <v:shape style="position:absolute;left:7489;top:1762;width:467;height:548" coordorigin="7490,1763" coordsize="467,548" path="m7490,1763l7956,2037,7490,2310,7490,1763xe" filled="false" stroked="true" strokeweight="1pt" strokecolor="#6fac46">
              <v:path arrowok="t"/>
              <v:stroke dashstyle="solid"/>
            </v:shape>
            <w10:wrap type="none"/>
          </v:group>
        </w:pict>
      </w:r>
      <w:r>
        <w:rPr/>
        <w:pict>
          <v:shape style="position:absolute;margin-left:70.496101pt;margin-top:-9.293026pt;width:24pt;height:39.25pt;mso-position-horizontal-relative:page;mso-position-vertical-relative:paragraph;z-index:251726848" type="#_x0000_t202" filled="false" stroked="false">
            <v:textbox inset="0,0,0,0" style="layout-flow:vertical;mso-layout-flow-alt:bottom-to-top">
              <w:txbxContent>
                <w:p>
                  <w:pPr>
                    <w:spacing w:line="468" w:lineRule="exact" w:before="0"/>
                    <w:ind w:left="20" w:right="0" w:firstLine="0"/>
                    <w:jc w:val="left"/>
                    <w:rPr>
                      <w:sz w:val="44"/>
                    </w:rPr>
                  </w:pPr>
                  <w:r>
                    <w:rPr>
                      <w:color w:val="FFFFFF"/>
                      <w:sz w:val="44"/>
                    </w:rPr>
                    <w:t>Past</w:t>
                  </w:r>
                </w:p>
              </w:txbxContent>
            </v:textbox>
            <w10:wrap type="none"/>
          </v:shape>
        </w:pict>
      </w:r>
      <w:r>
        <w:rPr>
          <w:color w:val="FFFFFF"/>
          <w:sz w:val="18"/>
        </w:rPr>
        <w:t>This can be described as hidden or even failure </w:t>
      </w:r>
      <w:r>
        <w:rPr>
          <w:color w:val="FFFFFF"/>
          <w:spacing w:val="-3"/>
          <w:sz w:val="18"/>
        </w:rPr>
        <w:t>demand. </w:t>
      </w:r>
      <w:r>
        <w:rPr>
          <w:color w:val="FFFFFF"/>
          <w:sz w:val="18"/>
        </w:rPr>
        <w:t>It is often linked to personal crime that hasn't been reported to the police due to a lack of trust or confidence or personal circumstances which have prevented it being reported at the time e.g. not realising they were suject of a crime. This is a significant pot of demand that continually grows some of which, over time will come to police</w:t>
      </w:r>
      <w:r>
        <w:rPr>
          <w:color w:val="FFFFFF"/>
          <w:spacing w:val="-13"/>
          <w:sz w:val="18"/>
        </w:rPr>
        <w:t> </w:t>
      </w:r>
      <w:r>
        <w:rPr>
          <w:color w:val="FFFFFF"/>
          <w:sz w:val="18"/>
        </w:rPr>
        <w:t>notice.</w:t>
      </w:r>
    </w:p>
    <w:p>
      <w:pPr>
        <w:pStyle w:val="BodyText"/>
        <w:spacing w:before="7"/>
        <w:rPr>
          <w:sz w:val="19"/>
        </w:rPr>
      </w:pPr>
      <w:r>
        <w:rPr/>
        <w:br w:type="column"/>
      </w:r>
      <w:r>
        <w:rPr>
          <w:sz w:val="19"/>
        </w:rPr>
      </w:r>
    </w:p>
    <w:p>
      <w:pPr>
        <w:spacing w:line="216" w:lineRule="auto" w:before="1"/>
        <w:ind w:left="875" w:right="-19" w:firstLine="0"/>
        <w:jc w:val="left"/>
        <w:rPr>
          <w:sz w:val="18"/>
        </w:rPr>
      </w:pPr>
      <w:r>
        <w:rPr/>
        <w:pict>
          <v:shape style="position:absolute;margin-left:231.284393pt;margin-top:-9.217672pt;width:24pt;height:70pt;mso-position-horizontal-relative:page;mso-position-vertical-relative:paragraph;z-index:251727872" type="#_x0000_t202" filled="false" stroked="false">
            <v:textbox inset="0,0,0,0" style="layout-flow:vertical;mso-layout-flow-alt:bottom-to-top">
              <w:txbxContent>
                <w:p>
                  <w:pPr>
                    <w:spacing w:line="468" w:lineRule="exact" w:before="0"/>
                    <w:ind w:left="20" w:right="0" w:firstLine="0"/>
                    <w:jc w:val="left"/>
                    <w:rPr>
                      <w:sz w:val="44"/>
                    </w:rPr>
                  </w:pPr>
                  <w:r>
                    <w:rPr>
                      <w:color w:val="FFFFFF"/>
                      <w:sz w:val="44"/>
                    </w:rPr>
                    <w:t>Present</w:t>
                  </w:r>
                </w:p>
              </w:txbxContent>
            </v:textbox>
            <w10:wrap type="none"/>
          </v:shape>
        </w:pict>
      </w:r>
      <w:r>
        <w:rPr>
          <w:color w:val="FFFFFF"/>
          <w:sz w:val="18"/>
        </w:rPr>
        <w:t>This is crime that is being commited now and reported now, its a subset of the true crime level. It is reliant upon the community having trust and confidence to report, that our crime data integrity processes are robust and accurate and that the engagement with the services we provide supports trust and confidence to report again, if subject to crime in the future.</w:t>
      </w:r>
    </w:p>
    <w:p>
      <w:pPr>
        <w:pStyle w:val="BodyText"/>
        <w:spacing w:before="10"/>
        <w:rPr>
          <w:sz w:val="18"/>
        </w:rPr>
      </w:pPr>
      <w:r>
        <w:rPr/>
        <w:br w:type="column"/>
      </w:r>
      <w:r>
        <w:rPr>
          <w:sz w:val="18"/>
        </w:rPr>
      </w:r>
    </w:p>
    <w:p>
      <w:pPr>
        <w:spacing w:line="216" w:lineRule="auto" w:before="0"/>
        <w:ind w:left="965" w:right="1254" w:firstLine="0"/>
        <w:jc w:val="left"/>
        <w:rPr>
          <w:sz w:val="18"/>
        </w:rPr>
      </w:pPr>
      <w:r>
        <w:rPr>
          <w:color w:val="FFFFFF"/>
          <w:sz w:val="18"/>
        </w:rPr>
        <w:t>This is about how prevention and early intervention, in partnership, can identify, engage, educate and moderate future offending and victimisation so that, in the future, the level and volume of crime is reduced. Criminal use of technology will be significant in how crime actvitiy will adapt and impact upon society. As future crime is focussed on causation the effects may not be seen within policing for a number of years.</w:t>
      </w:r>
    </w:p>
    <w:p>
      <w:pPr>
        <w:spacing w:after="0" w:line="216" w:lineRule="auto"/>
        <w:jc w:val="left"/>
        <w:rPr>
          <w:sz w:val="18"/>
        </w:rPr>
        <w:sectPr>
          <w:type w:val="continuous"/>
          <w:pgSz w:w="11910" w:h="16840"/>
          <w:pgMar w:top="0" w:bottom="0" w:left="0" w:right="0"/>
          <w:cols w:num="3" w:equalWidth="0">
            <w:col w:w="4197" w:space="40"/>
            <w:col w:w="3087" w:space="39"/>
            <w:col w:w="4547"/>
          </w:cols>
        </w:sectPr>
      </w:pPr>
    </w:p>
    <w:p>
      <w:pPr>
        <w:pStyle w:val="BodyText"/>
        <w:rPr>
          <w:sz w:val="20"/>
        </w:rPr>
      </w:pPr>
    </w:p>
    <w:p>
      <w:pPr>
        <w:pStyle w:val="BodyText"/>
        <w:rPr>
          <w:sz w:val="20"/>
        </w:rPr>
      </w:pPr>
    </w:p>
    <w:p>
      <w:pPr>
        <w:pStyle w:val="BodyText"/>
        <w:spacing w:before="10"/>
        <w:rPr>
          <w:sz w:val="25"/>
        </w:rPr>
      </w:pPr>
    </w:p>
    <w:p>
      <w:pPr>
        <w:spacing w:line="268" w:lineRule="exact" w:before="56"/>
        <w:ind w:left="1297" w:right="0" w:firstLine="0"/>
        <w:jc w:val="left"/>
        <w:rPr>
          <w:b/>
          <w:sz w:val="22"/>
        </w:rPr>
      </w:pPr>
      <w:r>
        <w:rPr>
          <w:b/>
          <w:sz w:val="22"/>
        </w:rPr>
        <w:t>Overall Summary</w:t>
      </w:r>
    </w:p>
    <w:p>
      <w:pPr>
        <w:pStyle w:val="BodyText"/>
        <w:ind w:left="1297" w:right="1331"/>
      </w:pPr>
      <w:r>
        <w:rPr/>
        <w:t>In writing this FMS we have taken cognisance of the emerging national picture, regional commitments and placed these in a local context. There are a number of cross cutting themes which will influence the force’s current and future response to the demand identified within this FMS. An organisation redesign project has been initiated which will take a holistic approach to reshaping the organisation from April 2024. This project takes into account the investment we have made this year into our areas of greatest risk, as identified within FMS4, and include our Safeguarding Teams, Investigation Teams, Force Control Room and the Digital Forensics Unit. The project is also set against the challenging financial envelope against which we must deliver not least through inflation but also the increase cost of energy and consumables and potential rise in salaries above the assumed increases we have budgeted for.</w:t>
      </w:r>
    </w:p>
    <w:p>
      <w:pPr>
        <w:spacing w:after="0"/>
        <w:sectPr>
          <w:type w:val="continuous"/>
          <w:pgSz w:w="11910" w:h="16840"/>
          <w:pgMar w:top="0" w:bottom="0" w:left="0" w:right="0"/>
        </w:sectPr>
      </w:pPr>
    </w:p>
    <w:p>
      <w:pPr>
        <w:pStyle w:val="BodyText"/>
        <w:spacing w:before="34"/>
        <w:ind w:left="1298" w:right="1162"/>
      </w:pPr>
      <w:r>
        <w:rPr/>
        <w:t>In response to the force’s most recent PEEL inspection, in October 2022, we have implemented a force wide Improvement Plan. This spans all chapters of our FMS and sets out the actions we have taken already and will continue to take to ensure that we make the necessary improvement whilst maintaining our service delivery. Predicting demand has continued to be challenging for FMS5 due to the fluctuation of crime and demand during the pandemic. The Force has built upon the predictive modelling methodology established in FMS4 and has found that these have been approximately 95% accurate when compared with the forecasts produced for FMS4.</w:t>
      </w:r>
    </w:p>
    <w:p>
      <w:pPr>
        <w:pStyle w:val="BodyText"/>
        <w:spacing w:before="9"/>
        <w:rPr>
          <w:sz w:val="20"/>
        </w:rPr>
      </w:pPr>
    </w:p>
    <w:p>
      <w:pPr>
        <w:pStyle w:val="BodyText"/>
        <w:spacing w:line="276" w:lineRule="auto"/>
        <w:ind w:left="1297" w:right="1717"/>
      </w:pPr>
      <w:r>
        <w:rPr/>
        <w:t>There are still a number of challenges facing North Yorkshire Police which are consistent with FMS4 including:</w:t>
      </w:r>
    </w:p>
    <w:p>
      <w:pPr>
        <w:pStyle w:val="ListParagraph"/>
        <w:numPr>
          <w:ilvl w:val="1"/>
          <w:numId w:val="1"/>
        </w:numPr>
        <w:tabs>
          <w:tab w:pos="2018" w:val="left" w:leader="none"/>
          <w:tab w:pos="2019" w:val="left" w:leader="none"/>
        </w:tabs>
        <w:spacing w:line="280" w:lineRule="exact" w:before="0" w:after="0"/>
        <w:ind w:left="2018" w:right="0" w:hanging="361"/>
        <w:jc w:val="left"/>
        <w:rPr>
          <w:sz w:val="22"/>
        </w:rPr>
      </w:pPr>
      <w:r>
        <w:rPr>
          <w:sz w:val="22"/>
        </w:rPr>
        <w:t>Ensuring that the force responds to all calls for service in a timely</w:t>
      </w:r>
      <w:r>
        <w:rPr>
          <w:spacing w:val="-10"/>
          <w:sz w:val="22"/>
        </w:rPr>
        <w:t> </w:t>
      </w:r>
      <w:r>
        <w:rPr>
          <w:sz w:val="22"/>
        </w:rPr>
        <w:t>manner.</w:t>
      </w:r>
    </w:p>
    <w:p>
      <w:pPr>
        <w:pStyle w:val="ListParagraph"/>
        <w:numPr>
          <w:ilvl w:val="1"/>
          <w:numId w:val="1"/>
        </w:numPr>
        <w:tabs>
          <w:tab w:pos="2018" w:val="left" w:leader="none"/>
          <w:tab w:pos="2019" w:val="left" w:leader="none"/>
        </w:tabs>
        <w:spacing w:line="240" w:lineRule="auto" w:before="1" w:after="0"/>
        <w:ind w:left="2017" w:right="1365" w:hanging="360"/>
        <w:jc w:val="left"/>
        <w:rPr>
          <w:sz w:val="22"/>
        </w:rPr>
      </w:pPr>
      <w:r>
        <w:rPr>
          <w:sz w:val="22"/>
        </w:rPr>
        <w:t>The increasing complexity of crime and demand, meaning that whilst volume may be stabilising in some areas, workload and complexity is</w:t>
      </w:r>
      <w:r>
        <w:rPr>
          <w:spacing w:val="-7"/>
          <w:sz w:val="22"/>
        </w:rPr>
        <w:t> </w:t>
      </w:r>
      <w:r>
        <w:rPr>
          <w:sz w:val="22"/>
        </w:rPr>
        <w:t>increasing.</w:t>
      </w:r>
    </w:p>
    <w:p>
      <w:pPr>
        <w:pStyle w:val="ListParagraph"/>
        <w:numPr>
          <w:ilvl w:val="1"/>
          <w:numId w:val="1"/>
        </w:numPr>
        <w:tabs>
          <w:tab w:pos="2018" w:val="left" w:leader="none"/>
          <w:tab w:pos="2019" w:val="left" w:leader="none"/>
        </w:tabs>
        <w:spacing w:line="240" w:lineRule="auto" w:before="1" w:after="0"/>
        <w:ind w:left="2017" w:right="1756" w:hanging="360"/>
        <w:jc w:val="left"/>
        <w:rPr>
          <w:sz w:val="22"/>
        </w:rPr>
      </w:pPr>
      <w:r>
        <w:rPr>
          <w:sz w:val="22"/>
        </w:rPr>
        <w:t>The changing nature of crime, with online crime and criminal use of technology being cross cutting threats and posing challenges for digital investigative capacity and</w:t>
      </w:r>
      <w:r>
        <w:rPr>
          <w:spacing w:val="-19"/>
          <w:sz w:val="22"/>
        </w:rPr>
        <w:t> </w:t>
      </w:r>
      <w:r>
        <w:rPr>
          <w:sz w:val="22"/>
        </w:rPr>
        <w:t>capability.</w:t>
      </w:r>
    </w:p>
    <w:p>
      <w:pPr>
        <w:pStyle w:val="ListParagraph"/>
        <w:numPr>
          <w:ilvl w:val="1"/>
          <w:numId w:val="1"/>
        </w:numPr>
        <w:tabs>
          <w:tab w:pos="2017" w:val="left" w:leader="none"/>
          <w:tab w:pos="2018" w:val="left" w:leader="none"/>
        </w:tabs>
        <w:spacing w:line="240" w:lineRule="auto" w:before="0" w:after="0"/>
        <w:ind w:left="2017" w:right="1154" w:hanging="361"/>
        <w:jc w:val="left"/>
        <w:rPr>
          <w:sz w:val="22"/>
        </w:rPr>
      </w:pPr>
      <w:r>
        <w:rPr>
          <w:sz w:val="22"/>
        </w:rPr>
        <w:t>Safeguarding demand continues to increase, in particular domestic abuse, child abuse and mental health as well as the challenges of hidden and under reported crimes particularly linked</w:t>
      </w:r>
      <w:r>
        <w:rPr>
          <w:spacing w:val="-27"/>
          <w:sz w:val="22"/>
        </w:rPr>
        <w:t> </w:t>
      </w:r>
      <w:r>
        <w:rPr>
          <w:sz w:val="22"/>
        </w:rPr>
        <w:t>to</w:t>
      </w:r>
    </w:p>
    <w:p>
      <w:pPr>
        <w:pStyle w:val="BodyText"/>
        <w:ind w:left="2017"/>
      </w:pPr>
      <w:r>
        <w:rPr/>
        <w:t>sexual offences.</w:t>
      </w:r>
    </w:p>
    <w:p>
      <w:pPr>
        <w:pStyle w:val="ListParagraph"/>
        <w:numPr>
          <w:ilvl w:val="1"/>
          <w:numId w:val="1"/>
        </w:numPr>
        <w:tabs>
          <w:tab w:pos="2017" w:val="left" w:leader="none"/>
          <w:tab w:pos="2018" w:val="left" w:leader="none"/>
        </w:tabs>
        <w:spacing w:line="240" w:lineRule="auto" w:before="0" w:after="0"/>
        <w:ind w:left="2017" w:right="1113" w:hanging="361"/>
        <w:jc w:val="left"/>
        <w:rPr>
          <w:sz w:val="22"/>
        </w:rPr>
      </w:pPr>
      <w:r>
        <w:rPr>
          <w:sz w:val="22"/>
        </w:rPr>
        <w:t>Significant demands associated with the pace of change within criminal justice and the impact this has on</w:t>
      </w:r>
      <w:r>
        <w:rPr>
          <w:spacing w:val="-2"/>
          <w:sz w:val="22"/>
        </w:rPr>
        <w:t> </w:t>
      </w:r>
      <w:r>
        <w:rPr>
          <w:sz w:val="22"/>
        </w:rPr>
        <w:t>investigations.</w:t>
      </w:r>
    </w:p>
    <w:p>
      <w:pPr>
        <w:pStyle w:val="ListParagraph"/>
        <w:numPr>
          <w:ilvl w:val="1"/>
          <w:numId w:val="1"/>
        </w:numPr>
        <w:tabs>
          <w:tab w:pos="2017" w:val="left" w:leader="none"/>
          <w:tab w:pos="2018" w:val="left" w:leader="none"/>
        </w:tabs>
        <w:spacing w:line="240" w:lineRule="auto" w:before="0" w:after="0"/>
        <w:ind w:left="2017" w:right="1867" w:hanging="361"/>
        <w:jc w:val="left"/>
        <w:rPr>
          <w:sz w:val="22"/>
        </w:rPr>
      </w:pPr>
      <w:r>
        <w:rPr>
          <w:sz w:val="22"/>
        </w:rPr>
        <w:t>Investigative capacity and capability, in particular the detective gap and the challenge this brings in terms of timely investigations and victim</w:t>
      </w:r>
      <w:r>
        <w:rPr>
          <w:spacing w:val="-9"/>
          <w:sz w:val="22"/>
        </w:rPr>
        <w:t> </w:t>
      </w:r>
      <w:r>
        <w:rPr>
          <w:sz w:val="22"/>
        </w:rPr>
        <w:t>satisfaction.</w:t>
      </w:r>
    </w:p>
    <w:p>
      <w:pPr>
        <w:pStyle w:val="ListParagraph"/>
        <w:numPr>
          <w:ilvl w:val="1"/>
          <w:numId w:val="1"/>
        </w:numPr>
        <w:tabs>
          <w:tab w:pos="2017" w:val="left" w:leader="none"/>
          <w:tab w:pos="2018" w:val="left" w:leader="none"/>
        </w:tabs>
        <w:spacing w:line="279" w:lineRule="exact" w:before="0" w:after="0"/>
        <w:ind w:left="2017" w:right="0" w:hanging="361"/>
        <w:jc w:val="left"/>
        <w:rPr>
          <w:sz w:val="22"/>
        </w:rPr>
      </w:pPr>
      <w:r>
        <w:rPr>
          <w:sz w:val="22"/>
        </w:rPr>
        <w:t>Maintaining public confidence within the context of national challenges to</w:t>
      </w:r>
      <w:r>
        <w:rPr>
          <w:spacing w:val="-8"/>
          <w:sz w:val="22"/>
        </w:rPr>
        <w:t> </w:t>
      </w:r>
      <w:r>
        <w:rPr>
          <w:sz w:val="22"/>
        </w:rPr>
        <w:t>legitimacy.</w:t>
      </w:r>
    </w:p>
    <w:p>
      <w:pPr>
        <w:pStyle w:val="ListParagraph"/>
        <w:numPr>
          <w:ilvl w:val="1"/>
          <w:numId w:val="1"/>
        </w:numPr>
        <w:tabs>
          <w:tab w:pos="2017" w:val="left" w:leader="none"/>
          <w:tab w:pos="2018" w:val="left" w:leader="none"/>
        </w:tabs>
        <w:spacing w:line="240" w:lineRule="auto" w:before="0" w:after="0"/>
        <w:ind w:left="2017" w:right="1538" w:hanging="361"/>
        <w:jc w:val="left"/>
        <w:rPr>
          <w:sz w:val="22"/>
        </w:rPr>
      </w:pPr>
      <w:r>
        <w:rPr>
          <w:sz w:val="22"/>
        </w:rPr>
        <w:t>Financial challenges meaning that whilst the force is recruiting additional officers through the PUP, there is still the requirement to make significant financial</w:t>
      </w:r>
      <w:r>
        <w:rPr>
          <w:spacing w:val="-7"/>
          <w:sz w:val="22"/>
        </w:rPr>
        <w:t> </w:t>
      </w:r>
      <w:r>
        <w:rPr>
          <w:sz w:val="22"/>
        </w:rPr>
        <w:t>savings.</w:t>
      </w:r>
    </w:p>
    <w:p>
      <w:pPr>
        <w:pStyle w:val="ListParagraph"/>
        <w:numPr>
          <w:ilvl w:val="1"/>
          <w:numId w:val="1"/>
        </w:numPr>
        <w:tabs>
          <w:tab w:pos="2017" w:val="left" w:leader="none"/>
          <w:tab w:pos="2018" w:val="left" w:leader="none"/>
        </w:tabs>
        <w:spacing w:line="240" w:lineRule="auto" w:before="1" w:after="0"/>
        <w:ind w:left="2017" w:right="1876" w:hanging="361"/>
        <w:jc w:val="left"/>
        <w:rPr>
          <w:sz w:val="22"/>
        </w:rPr>
      </w:pPr>
      <w:r>
        <w:rPr>
          <w:sz w:val="22"/>
        </w:rPr>
        <w:t>Having the capabilities and skills required to meet future demands within the context of a competitive labour</w:t>
      </w:r>
      <w:r>
        <w:rPr>
          <w:spacing w:val="-5"/>
          <w:sz w:val="22"/>
        </w:rPr>
        <w:t> </w:t>
      </w:r>
      <w:r>
        <w:rPr>
          <w:sz w:val="22"/>
        </w:rPr>
        <w:t>market.</w:t>
      </w:r>
    </w:p>
    <w:p>
      <w:pPr>
        <w:pStyle w:val="ListParagraph"/>
        <w:numPr>
          <w:ilvl w:val="1"/>
          <w:numId w:val="1"/>
        </w:numPr>
        <w:tabs>
          <w:tab w:pos="2017" w:val="left" w:leader="none"/>
          <w:tab w:pos="2018" w:val="left" w:leader="none"/>
        </w:tabs>
        <w:spacing w:line="240" w:lineRule="auto" w:before="0" w:after="0"/>
        <w:ind w:left="2017" w:right="1635" w:hanging="360"/>
        <w:jc w:val="left"/>
        <w:rPr>
          <w:sz w:val="22"/>
        </w:rPr>
      </w:pPr>
      <w:r>
        <w:rPr>
          <w:sz w:val="22"/>
        </w:rPr>
        <w:t>Ensuring the wellbeing of officers and staff and recruiting/retaining a workforce that is more representative of the communities of North</w:t>
      </w:r>
      <w:r>
        <w:rPr>
          <w:spacing w:val="-11"/>
          <w:sz w:val="22"/>
        </w:rPr>
        <w:t> </w:t>
      </w:r>
      <w:r>
        <w:rPr>
          <w:sz w:val="22"/>
        </w:rPr>
        <w:t>Yorkshire.</w:t>
      </w:r>
    </w:p>
    <w:p>
      <w:pPr>
        <w:pStyle w:val="BodyText"/>
        <w:rPr>
          <w:sz w:val="20"/>
        </w:rPr>
      </w:pPr>
    </w:p>
    <w:p>
      <w:pPr>
        <w:pStyle w:val="BodyText"/>
        <w:rPr>
          <w:sz w:val="20"/>
        </w:rPr>
      </w:pPr>
    </w:p>
    <w:p>
      <w:pPr>
        <w:pStyle w:val="BodyText"/>
        <w:rPr>
          <w:sz w:val="20"/>
        </w:rPr>
      </w:pPr>
    </w:p>
    <w:p>
      <w:pPr>
        <w:pStyle w:val="BodyText"/>
        <w:spacing w:before="5"/>
        <w:rPr>
          <w:sz w:val="15"/>
        </w:rPr>
      </w:pPr>
      <w:r>
        <w:rPr/>
        <w:drawing>
          <wp:anchor distT="0" distB="0" distL="0" distR="0" allowOverlap="1" layoutInCell="1" locked="0" behindDoc="0" simplePos="0" relativeHeight="70">
            <wp:simplePos x="0" y="0"/>
            <wp:positionH relativeFrom="page">
              <wp:posOffset>914400</wp:posOffset>
            </wp:positionH>
            <wp:positionV relativeFrom="paragraph">
              <wp:posOffset>144826</wp:posOffset>
            </wp:positionV>
            <wp:extent cx="5646104" cy="1732502"/>
            <wp:effectExtent l="0" t="0" r="0" b="0"/>
            <wp:wrapTopAndBottom/>
            <wp:docPr id="3" name="image16.png"/>
            <wp:cNvGraphicFramePr>
              <a:graphicFrameLocks noChangeAspect="1"/>
            </wp:cNvGraphicFramePr>
            <a:graphic>
              <a:graphicData uri="http://schemas.openxmlformats.org/drawingml/2006/picture">
                <pic:pic>
                  <pic:nvPicPr>
                    <pic:cNvPr id="4" name="image16.png"/>
                    <pic:cNvPicPr/>
                  </pic:nvPicPr>
                  <pic:blipFill>
                    <a:blip r:embed="rId23" cstate="print"/>
                    <a:stretch>
                      <a:fillRect/>
                    </a:stretch>
                  </pic:blipFill>
                  <pic:spPr>
                    <a:xfrm>
                      <a:off x="0" y="0"/>
                      <a:ext cx="5646104" cy="1732502"/>
                    </a:xfrm>
                    <a:prstGeom prst="rect">
                      <a:avLst/>
                    </a:prstGeom>
                  </pic:spPr>
                </pic:pic>
              </a:graphicData>
            </a:graphic>
          </wp:anchor>
        </w:drawing>
      </w:r>
    </w:p>
    <w:p>
      <w:pPr>
        <w:spacing w:after="0"/>
        <w:rPr>
          <w:sz w:val="15"/>
        </w:rPr>
        <w:sectPr>
          <w:pgSz w:w="11910" w:h="16840"/>
          <w:pgMar w:header="0" w:footer="443" w:top="1060" w:bottom="720" w:left="0" w:right="0"/>
        </w:sectPr>
      </w:pPr>
    </w:p>
    <w:p>
      <w:pPr>
        <w:pStyle w:val="BodyText"/>
        <w:spacing w:before="45"/>
        <w:ind w:left="1440"/>
      </w:pPr>
      <w:r>
        <w:rPr/>
        <w:t>Below is an executive summary of each of the chapters highlighting the key themes and risks:</w:t>
      </w:r>
    </w:p>
    <w:p>
      <w:pPr>
        <w:pStyle w:val="BodyText"/>
        <w:spacing w:before="1" w:after="1"/>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2" w:hRule="atLeast"/>
        </w:trPr>
        <w:tc>
          <w:tcPr>
            <w:tcW w:w="9492" w:type="dxa"/>
            <w:gridSpan w:val="2"/>
            <w:shd w:val="clear" w:color="auto" w:fill="33A93C"/>
          </w:tcPr>
          <w:p>
            <w:pPr>
              <w:pStyle w:val="TableParagraph"/>
              <w:spacing w:line="323" w:lineRule="exact"/>
              <w:ind w:left="107"/>
              <w:rPr>
                <w:b/>
                <w:sz w:val="28"/>
              </w:rPr>
            </w:pPr>
            <w:r>
              <w:rPr>
                <w:b/>
                <w:color w:val="FFFFFF"/>
                <w:sz w:val="28"/>
              </w:rPr>
              <w:t>Chapter 1: Finance</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13324" w:hRule="atLeast"/>
        </w:trPr>
        <w:tc>
          <w:tcPr>
            <w:tcW w:w="1697" w:type="dxa"/>
          </w:tcPr>
          <w:p>
            <w:pPr>
              <w:pStyle w:val="TableParagraph"/>
              <w:spacing w:line="268" w:lineRule="exact"/>
              <w:ind w:left="107"/>
              <w:rPr>
                <w:sz w:val="22"/>
              </w:rPr>
            </w:pPr>
            <w:r>
              <w:rPr>
                <w:sz w:val="22"/>
              </w:rPr>
              <w:t>1. Finance</w:t>
            </w:r>
          </w:p>
          <w:p>
            <w:pPr>
              <w:pStyle w:val="TableParagraph"/>
              <w:spacing w:after="1"/>
              <w:rPr>
                <w:sz w:val="22"/>
              </w:rPr>
            </w:pPr>
          </w:p>
          <w:p>
            <w:pPr>
              <w:pStyle w:val="TableParagraph"/>
              <w:ind w:left="306"/>
              <w:rPr>
                <w:sz w:val="20"/>
              </w:rPr>
            </w:pPr>
            <w:r>
              <w:rPr>
                <w:sz w:val="20"/>
              </w:rPr>
              <w:drawing>
                <wp:inline distT="0" distB="0" distL="0" distR="0">
                  <wp:extent cx="683132" cy="683132"/>
                  <wp:effectExtent l="0" t="0" r="0" b="0"/>
                  <wp:docPr id="5" name="image17.png"/>
                  <wp:cNvGraphicFramePr>
                    <a:graphicFrameLocks noChangeAspect="1"/>
                  </wp:cNvGraphicFramePr>
                  <a:graphic>
                    <a:graphicData uri="http://schemas.openxmlformats.org/drawingml/2006/picture">
                      <pic:pic>
                        <pic:nvPicPr>
                          <pic:cNvPr id="6" name="image17.png"/>
                          <pic:cNvPicPr/>
                        </pic:nvPicPr>
                        <pic:blipFill>
                          <a:blip r:embed="rId24"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19"/>
              </w:rPr>
            </w:pPr>
          </w:p>
        </w:tc>
        <w:tc>
          <w:tcPr>
            <w:tcW w:w="7795" w:type="dxa"/>
          </w:tcPr>
          <w:p>
            <w:pPr>
              <w:pStyle w:val="TableParagraph"/>
              <w:numPr>
                <w:ilvl w:val="0"/>
                <w:numId w:val="2"/>
              </w:numPr>
              <w:tabs>
                <w:tab w:pos="468" w:val="left" w:leader="none"/>
              </w:tabs>
              <w:spacing w:line="240" w:lineRule="auto" w:before="0" w:after="0"/>
              <w:ind w:left="467" w:right="179" w:hanging="360"/>
              <w:jc w:val="both"/>
              <w:rPr>
                <w:sz w:val="22"/>
              </w:rPr>
            </w:pPr>
            <w:r>
              <w:rPr>
                <w:sz w:val="22"/>
              </w:rPr>
              <w:t>Following consultation with the public, the Police, Fire and Crime Commissioner (PFCC) for North Yorkshire opted to increase the Council Tax Precept by 4.99% - equivalent to £14.03 on a Band D</w:t>
            </w:r>
            <w:r>
              <w:rPr>
                <w:spacing w:val="-8"/>
                <w:sz w:val="22"/>
              </w:rPr>
              <w:t> </w:t>
            </w:r>
            <w:r>
              <w:rPr>
                <w:sz w:val="22"/>
              </w:rPr>
              <w:t>property.</w:t>
            </w:r>
          </w:p>
          <w:p>
            <w:pPr>
              <w:pStyle w:val="TableParagraph"/>
              <w:numPr>
                <w:ilvl w:val="0"/>
                <w:numId w:val="2"/>
              </w:numPr>
              <w:tabs>
                <w:tab w:pos="468" w:val="left" w:leader="none"/>
              </w:tabs>
              <w:spacing w:line="240" w:lineRule="auto" w:before="0" w:after="0"/>
              <w:ind w:left="467" w:right="143" w:hanging="360"/>
              <w:jc w:val="both"/>
              <w:rPr>
                <w:sz w:val="22"/>
              </w:rPr>
            </w:pPr>
            <w:r>
              <w:rPr>
                <w:sz w:val="22"/>
              </w:rPr>
              <w:t>Government grants have increased by £1.7m (+1.8%), with £1.4m of this being further</w:t>
            </w:r>
            <w:r>
              <w:rPr>
                <w:spacing w:val="-4"/>
                <w:sz w:val="22"/>
              </w:rPr>
              <w:t> </w:t>
            </w:r>
            <w:r>
              <w:rPr>
                <w:sz w:val="22"/>
              </w:rPr>
              <w:t>ringfenced</w:t>
            </w:r>
            <w:r>
              <w:rPr>
                <w:spacing w:val="-5"/>
                <w:sz w:val="22"/>
              </w:rPr>
              <w:t> </w:t>
            </w:r>
            <w:r>
              <w:rPr>
                <w:sz w:val="22"/>
              </w:rPr>
              <w:t>grant</w:t>
            </w:r>
            <w:r>
              <w:rPr>
                <w:spacing w:val="-5"/>
                <w:sz w:val="22"/>
              </w:rPr>
              <w:t> </w:t>
            </w:r>
            <w:r>
              <w:rPr>
                <w:sz w:val="22"/>
              </w:rPr>
              <w:t>towards</w:t>
            </w:r>
            <w:r>
              <w:rPr>
                <w:spacing w:val="-4"/>
                <w:sz w:val="22"/>
              </w:rPr>
              <w:t> </w:t>
            </w:r>
            <w:r>
              <w:rPr>
                <w:sz w:val="22"/>
              </w:rPr>
              <w:t>Uplift</w:t>
            </w:r>
            <w:r>
              <w:rPr>
                <w:spacing w:val="-4"/>
                <w:sz w:val="22"/>
              </w:rPr>
              <w:t> </w:t>
            </w:r>
            <w:r>
              <w:rPr>
                <w:sz w:val="22"/>
              </w:rPr>
              <w:t>police</w:t>
            </w:r>
            <w:r>
              <w:rPr>
                <w:spacing w:val="-6"/>
                <w:sz w:val="22"/>
              </w:rPr>
              <w:t> </w:t>
            </w:r>
            <w:r>
              <w:rPr>
                <w:sz w:val="22"/>
              </w:rPr>
              <w:t>officer</w:t>
            </w:r>
            <w:r>
              <w:rPr>
                <w:spacing w:val="-3"/>
                <w:sz w:val="22"/>
              </w:rPr>
              <w:t> </w:t>
            </w:r>
            <w:r>
              <w:rPr>
                <w:sz w:val="22"/>
              </w:rPr>
              <w:t>recruitment</w:t>
            </w:r>
            <w:r>
              <w:rPr>
                <w:spacing w:val="-3"/>
                <w:sz w:val="22"/>
              </w:rPr>
              <w:t> </w:t>
            </w:r>
            <w:r>
              <w:rPr>
                <w:sz w:val="22"/>
              </w:rPr>
              <w:t>and</w:t>
            </w:r>
            <w:r>
              <w:rPr>
                <w:spacing w:val="-5"/>
                <w:sz w:val="22"/>
              </w:rPr>
              <w:t> </w:t>
            </w:r>
            <w:r>
              <w:rPr>
                <w:sz w:val="22"/>
              </w:rPr>
              <w:t>retention.</w:t>
            </w:r>
          </w:p>
          <w:p>
            <w:pPr>
              <w:pStyle w:val="TableParagraph"/>
              <w:numPr>
                <w:ilvl w:val="0"/>
                <w:numId w:val="2"/>
              </w:numPr>
              <w:tabs>
                <w:tab w:pos="468" w:val="left" w:leader="none"/>
              </w:tabs>
              <w:spacing w:line="240" w:lineRule="auto" w:before="0" w:after="0"/>
              <w:ind w:left="467" w:right="85" w:hanging="360"/>
              <w:jc w:val="both"/>
              <w:rPr>
                <w:sz w:val="22"/>
              </w:rPr>
            </w:pPr>
            <w:r>
              <w:rPr>
                <w:sz w:val="22"/>
              </w:rPr>
              <w:t>The budget to run the Office of the Police, Fire and Crime Commissioner (OPFCC) for 2023/24 is £1.435m, a£100k (+7.5%)</w:t>
            </w:r>
            <w:r>
              <w:rPr>
                <w:spacing w:val="-5"/>
                <w:sz w:val="22"/>
              </w:rPr>
              <w:t> </w:t>
            </w:r>
            <w:r>
              <w:rPr>
                <w:sz w:val="22"/>
              </w:rPr>
              <w:t>increase.</w:t>
            </w:r>
          </w:p>
          <w:p>
            <w:pPr>
              <w:pStyle w:val="TableParagraph"/>
              <w:numPr>
                <w:ilvl w:val="0"/>
                <w:numId w:val="2"/>
              </w:numPr>
              <w:tabs>
                <w:tab w:pos="467" w:val="left" w:leader="none"/>
                <w:tab w:pos="468" w:val="left" w:leader="none"/>
              </w:tabs>
              <w:spacing w:line="240" w:lineRule="auto" w:before="0" w:after="0"/>
              <w:ind w:left="467" w:right="112" w:hanging="360"/>
              <w:jc w:val="left"/>
              <w:rPr>
                <w:sz w:val="22"/>
              </w:rPr>
            </w:pPr>
            <w:r>
              <w:rPr>
                <w:sz w:val="22"/>
              </w:rPr>
              <w:t>The projected force budgets to 2026/27 have been reflected in the Medium Term Financial Plan (MTFP) approved by the PFCC in February 2023. The MTFP is in balance each year, after assumptions re. inflation and 2% precept increases from</w:t>
            </w:r>
            <w:r>
              <w:rPr>
                <w:spacing w:val="-2"/>
                <w:sz w:val="22"/>
              </w:rPr>
              <w:t> </w:t>
            </w:r>
            <w:r>
              <w:rPr>
                <w:sz w:val="22"/>
              </w:rPr>
              <w:t>2024/25.</w:t>
            </w:r>
          </w:p>
          <w:p>
            <w:pPr>
              <w:pStyle w:val="TableParagraph"/>
              <w:numPr>
                <w:ilvl w:val="0"/>
                <w:numId w:val="2"/>
              </w:numPr>
              <w:tabs>
                <w:tab w:pos="467" w:val="left" w:leader="none"/>
                <w:tab w:pos="468" w:val="left" w:leader="none"/>
              </w:tabs>
              <w:spacing w:line="240" w:lineRule="auto" w:before="0" w:after="0"/>
              <w:ind w:left="467" w:right="754" w:hanging="360"/>
              <w:jc w:val="left"/>
              <w:rPr>
                <w:sz w:val="22"/>
              </w:rPr>
            </w:pPr>
            <w:r>
              <w:rPr>
                <w:sz w:val="22"/>
              </w:rPr>
              <w:t>The 2023/24 budget and MTFP provide sufficient resources to deliver</w:t>
            </w:r>
            <w:r>
              <w:rPr>
                <w:spacing w:val="-34"/>
                <w:sz w:val="22"/>
              </w:rPr>
              <w:t> </w:t>
            </w:r>
            <w:r>
              <w:rPr>
                <w:sz w:val="22"/>
              </w:rPr>
              <w:t>and maintain the Uplift target number of police officers of</w:t>
            </w:r>
            <w:r>
              <w:rPr>
                <w:spacing w:val="-21"/>
                <w:sz w:val="22"/>
              </w:rPr>
              <w:t> </w:t>
            </w:r>
            <w:r>
              <w:rPr>
                <w:sz w:val="22"/>
              </w:rPr>
              <w:t>1,645.</w:t>
            </w:r>
          </w:p>
          <w:p>
            <w:pPr>
              <w:pStyle w:val="TableParagraph"/>
              <w:numPr>
                <w:ilvl w:val="0"/>
                <w:numId w:val="2"/>
              </w:numPr>
              <w:tabs>
                <w:tab w:pos="467" w:val="left" w:leader="none"/>
                <w:tab w:pos="468" w:val="left" w:leader="none"/>
              </w:tabs>
              <w:spacing w:line="240" w:lineRule="auto" w:before="0" w:after="0"/>
              <w:ind w:left="467" w:right="459" w:hanging="360"/>
              <w:jc w:val="left"/>
              <w:rPr>
                <w:sz w:val="22"/>
              </w:rPr>
            </w:pPr>
            <w:r>
              <w:rPr>
                <w:sz w:val="22"/>
              </w:rPr>
              <w:t>Since 2021/22, the Force has adopted an integrated business and financial planning approach, which has utilised the Force Management Statement</w:t>
            </w:r>
            <w:r>
              <w:rPr>
                <w:spacing w:val="-34"/>
                <w:sz w:val="22"/>
              </w:rPr>
              <w:t> </w:t>
            </w:r>
            <w:r>
              <w:rPr>
                <w:sz w:val="22"/>
              </w:rPr>
              <w:t>and Improvement Plan to identify gaps in capacity and</w:t>
            </w:r>
            <w:r>
              <w:rPr>
                <w:spacing w:val="-14"/>
                <w:sz w:val="22"/>
              </w:rPr>
              <w:t> </w:t>
            </w:r>
            <w:r>
              <w:rPr>
                <w:sz w:val="22"/>
              </w:rPr>
              <w:t>capability.</w:t>
            </w:r>
          </w:p>
          <w:p>
            <w:pPr>
              <w:pStyle w:val="TableParagraph"/>
              <w:numPr>
                <w:ilvl w:val="0"/>
                <w:numId w:val="2"/>
              </w:numPr>
              <w:tabs>
                <w:tab w:pos="467" w:val="left" w:leader="none"/>
                <w:tab w:pos="468" w:val="left" w:leader="none"/>
              </w:tabs>
              <w:spacing w:line="240" w:lineRule="auto" w:before="0" w:after="0"/>
              <w:ind w:left="467" w:right="79" w:hanging="360"/>
              <w:jc w:val="left"/>
              <w:rPr>
                <w:sz w:val="22"/>
              </w:rPr>
            </w:pPr>
            <w:r>
              <w:rPr>
                <w:sz w:val="22"/>
              </w:rPr>
              <w:t>For 2023/24, the challenge for NYP is that it will need to absorb the cost of inflationary pressures even after the 4.0% increase in funding to the PFCC. Financial savings are required at a time when the organisation needs to deliver its</w:t>
            </w:r>
            <w:r>
              <w:rPr>
                <w:spacing w:val="-4"/>
                <w:sz w:val="22"/>
              </w:rPr>
              <w:t> </w:t>
            </w:r>
            <w:r>
              <w:rPr>
                <w:sz w:val="22"/>
              </w:rPr>
              <w:t>Improvement</w:t>
            </w:r>
            <w:r>
              <w:rPr>
                <w:spacing w:val="-6"/>
                <w:sz w:val="22"/>
              </w:rPr>
              <w:t> </w:t>
            </w:r>
            <w:r>
              <w:rPr>
                <w:sz w:val="22"/>
              </w:rPr>
              <w:t>Plan</w:t>
            </w:r>
            <w:r>
              <w:rPr>
                <w:spacing w:val="-5"/>
                <w:sz w:val="22"/>
              </w:rPr>
              <w:t> </w:t>
            </w:r>
            <w:r>
              <w:rPr>
                <w:sz w:val="22"/>
              </w:rPr>
              <w:t>(following</w:t>
            </w:r>
            <w:r>
              <w:rPr>
                <w:spacing w:val="-5"/>
                <w:sz w:val="22"/>
              </w:rPr>
              <w:t> </w:t>
            </w:r>
            <w:r>
              <w:rPr>
                <w:sz w:val="22"/>
              </w:rPr>
              <w:t>NCPI</w:t>
            </w:r>
            <w:r>
              <w:rPr>
                <w:spacing w:val="-3"/>
                <w:sz w:val="22"/>
              </w:rPr>
              <w:t> </w:t>
            </w:r>
            <w:r>
              <w:rPr>
                <w:sz w:val="22"/>
              </w:rPr>
              <w:t>and</w:t>
            </w:r>
            <w:r>
              <w:rPr>
                <w:spacing w:val="-7"/>
                <w:sz w:val="22"/>
              </w:rPr>
              <w:t> </w:t>
            </w:r>
            <w:r>
              <w:rPr>
                <w:sz w:val="22"/>
              </w:rPr>
              <w:t>PEEL</w:t>
            </w:r>
            <w:r>
              <w:rPr>
                <w:spacing w:val="-3"/>
                <w:sz w:val="22"/>
              </w:rPr>
              <w:t> </w:t>
            </w:r>
            <w:r>
              <w:rPr>
                <w:sz w:val="22"/>
              </w:rPr>
              <w:t>inspections)</w:t>
            </w:r>
            <w:r>
              <w:rPr>
                <w:spacing w:val="-4"/>
                <w:sz w:val="22"/>
              </w:rPr>
              <w:t> </w:t>
            </w:r>
            <w:r>
              <w:rPr>
                <w:sz w:val="22"/>
              </w:rPr>
              <w:t>and</w:t>
            </w:r>
            <w:r>
              <w:rPr>
                <w:spacing w:val="-4"/>
                <w:sz w:val="22"/>
              </w:rPr>
              <w:t> </w:t>
            </w:r>
            <w:r>
              <w:rPr>
                <w:sz w:val="22"/>
              </w:rPr>
              <w:t>reconfigure</w:t>
            </w:r>
            <w:r>
              <w:rPr>
                <w:spacing w:val="-5"/>
                <w:sz w:val="22"/>
              </w:rPr>
              <w:t> </w:t>
            </w:r>
            <w:r>
              <w:rPr>
                <w:sz w:val="22"/>
              </w:rPr>
              <w:t>both operational and support</w:t>
            </w:r>
            <w:r>
              <w:rPr>
                <w:spacing w:val="-1"/>
                <w:sz w:val="22"/>
              </w:rPr>
              <w:t> </w:t>
            </w:r>
            <w:r>
              <w:rPr>
                <w:sz w:val="22"/>
              </w:rPr>
              <w:t>services.</w:t>
            </w:r>
          </w:p>
          <w:p>
            <w:pPr>
              <w:pStyle w:val="TableParagraph"/>
              <w:numPr>
                <w:ilvl w:val="0"/>
                <w:numId w:val="2"/>
              </w:numPr>
              <w:tabs>
                <w:tab w:pos="468" w:val="left" w:leader="none"/>
              </w:tabs>
              <w:spacing w:line="240" w:lineRule="auto" w:before="0" w:after="0"/>
              <w:ind w:left="467" w:right="132" w:hanging="360"/>
              <w:jc w:val="both"/>
              <w:rPr>
                <w:sz w:val="22"/>
              </w:rPr>
            </w:pPr>
            <w:r>
              <w:rPr>
                <w:sz w:val="22"/>
              </w:rPr>
              <w:t>An organisation-wide review has commenced, with the aim of delivering a more efficient and effective operating model, with strong and visible frontline policing and an effective Force Control</w:t>
            </w:r>
            <w:r>
              <w:rPr>
                <w:spacing w:val="-2"/>
                <w:sz w:val="22"/>
              </w:rPr>
              <w:t> </w:t>
            </w:r>
            <w:r>
              <w:rPr>
                <w:sz w:val="22"/>
              </w:rPr>
              <w:t>Room.</w:t>
            </w:r>
          </w:p>
          <w:p>
            <w:pPr>
              <w:pStyle w:val="TableParagraph"/>
              <w:numPr>
                <w:ilvl w:val="0"/>
                <w:numId w:val="2"/>
              </w:numPr>
              <w:tabs>
                <w:tab w:pos="467" w:val="left" w:leader="none"/>
                <w:tab w:pos="468" w:val="left" w:leader="none"/>
              </w:tabs>
              <w:spacing w:line="240" w:lineRule="auto" w:before="0" w:after="0"/>
              <w:ind w:left="467" w:right="170" w:hanging="360"/>
              <w:jc w:val="left"/>
              <w:rPr>
                <w:sz w:val="22"/>
              </w:rPr>
            </w:pPr>
            <w:r>
              <w:rPr>
                <w:sz w:val="22"/>
              </w:rPr>
              <w:t>In order to deliver the requirements of the Improvement Plan, some investments are required in advance of the completion of the organisational review. In the short term these will be prioritised within available funding levels and prioritised in the organisational restructure. These include, Safeguarding, Investigations, DFU and Force Control</w:t>
            </w:r>
            <w:r>
              <w:rPr>
                <w:spacing w:val="-2"/>
                <w:sz w:val="22"/>
              </w:rPr>
              <w:t> </w:t>
            </w:r>
            <w:r>
              <w:rPr>
                <w:sz w:val="22"/>
              </w:rPr>
              <w:t>Room.</w:t>
            </w:r>
          </w:p>
          <w:p>
            <w:pPr>
              <w:pStyle w:val="TableParagraph"/>
              <w:numPr>
                <w:ilvl w:val="0"/>
                <w:numId w:val="2"/>
              </w:numPr>
              <w:tabs>
                <w:tab w:pos="467" w:val="left" w:leader="none"/>
                <w:tab w:pos="468" w:val="left" w:leader="none"/>
              </w:tabs>
              <w:spacing w:line="240" w:lineRule="auto" w:before="0" w:after="0"/>
              <w:ind w:left="467" w:right="127" w:hanging="360"/>
              <w:jc w:val="left"/>
              <w:rPr>
                <w:sz w:val="22"/>
              </w:rPr>
            </w:pPr>
            <w:r>
              <w:rPr>
                <w:sz w:val="22"/>
              </w:rPr>
              <w:t>For 2023/24, the budget strategy approved at COT is to utilise predicted additional underspends to provide the short-term funding to support critical investments, pending the identification and delivery of recurring savings from organisational redesign and review of non-pay and contracts expenditure for 2024/25. No decision was taken to increase the utilisation of police officers into staff roles. The final position will ultimately depend on the outcome of the organisational</w:t>
            </w:r>
            <w:r>
              <w:rPr>
                <w:spacing w:val="-1"/>
                <w:sz w:val="22"/>
              </w:rPr>
              <w:t> </w:t>
            </w:r>
            <w:r>
              <w:rPr>
                <w:sz w:val="22"/>
              </w:rPr>
              <w:t>review.</w:t>
            </w:r>
          </w:p>
          <w:p>
            <w:pPr>
              <w:pStyle w:val="TableParagraph"/>
              <w:numPr>
                <w:ilvl w:val="0"/>
                <w:numId w:val="2"/>
              </w:numPr>
              <w:tabs>
                <w:tab w:pos="467" w:val="left" w:leader="none"/>
                <w:tab w:pos="468" w:val="left" w:leader="none"/>
              </w:tabs>
              <w:spacing w:line="280" w:lineRule="exact" w:before="0" w:after="0"/>
              <w:ind w:left="467" w:right="0" w:hanging="361"/>
              <w:jc w:val="left"/>
              <w:rPr>
                <w:sz w:val="22"/>
              </w:rPr>
            </w:pPr>
            <w:r>
              <w:rPr>
                <w:sz w:val="22"/>
              </w:rPr>
              <w:t>A 4-year capital programme was approved by the PFCC in February</w:t>
            </w:r>
            <w:r>
              <w:rPr>
                <w:spacing w:val="-33"/>
                <w:sz w:val="22"/>
              </w:rPr>
              <w:t> </w:t>
            </w:r>
            <w:r>
              <w:rPr>
                <w:sz w:val="22"/>
              </w:rPr>
              <w:t>2023.</w:t>
            </w:r>
          </w:p>
          <w:p>
            <w:pPr>
              <w:pStyle w:val="TableParagraph"/>
              <w:numPr>
                <w:ilvl w:val="0"/>
                <w:numId w:val="2"/>
              </w:numPr>
              <w:tabs>
                <w:tab w:pos="467" w:val="left" w:leader="none"/>
                <w:tab w:pos="468" w:val="left" w:leader="none"/>
              </w:tabs>
              <w:spacing w:line="240" w:lineRule="auto" w:before="0" w:after="0"/>
              <w:ind w:left="467" w:right="150" w:hanging="360"/>
              <w:jc w:val="left"/>
              <w:rPr>
                <w:sz w:val="22"/>
              </w:rPr>
            </w:pPr>
            <w:r>
              <w:rPr>
                <w:sz w:val="22"/>
              </w:rPr>
              <w:t>There is potentially £8.0m of funding available over the life of the MTFP to support national, regional and local Change Pipeline projects, conditional on the income and expenditure assumptions that underpin the MTFP financial</w:t>
            </w:r>
            <w:r>
              <w:rPr>
                <w:spacing w:val="-33"/>
                <w:sz w:val="22"/>
              </w:rPr>
              <w:t> </w:t>
            </w:r>
            <w:r>
              <w:rPr>
                <w:sz w:val="22"/>
              </w:rPr>
              <w:t>model.</w:t>
            </w:r>
          </w:p>
          <w:p>
            <w:pPr>
              <w:pStyle w:val="TableParagraph"/>
              <w:numPr>
                <w:ilvl w:val="0"/>
                <w:numId w:val="2"/>
              </w:numPr>
              <w:tabs>
                <w:tab w:pos="467" w:val="left" w:leader="none"/>
                <w:tab w:pos="468" w:val="left" w:leader="none"/>
              </w:tabs>
              <w:spacing w:line="240" w:lineRule="auto" w:before="0" w:after="0"/>
              <w:ind w:left="467" w:right="253" w:hanging="360"/>
              <w:jc w:val="left"/>
              <w:rPr>
                <w:sz w:val="22"/>
              </w:rPr>
            </w:pPr>
            <w:r>
              <w:rPr>
                <w:sz w:val="22"/>
              </w:rPr>
              <w:t>The approved MTFP forecasts reserves at April 2023 to be c.£29.5m, including General Reserve of £5.6m, Earmarked Reserves of £15.7m and Capital Receipts Reserve of</w:t>
            </w:r>
            <w:r>
              <w:rPr>
                <w:spacing w:val="-5"/>
                <w:sz w:val="22"/>
              </w:rPr>
              <w:t> </w:t>
            </w:r>
            <w:r>
              <w:rPr>
                <w:sz w:val="22"/>
              </w:rPr>
              <w:t>£8.3m.</w:t>
            </w:r>
          </w:p>
          <w:p>
            <w:pPr>
              <w:pStyle w:val="TableParagraph"/>
              <w:numPr>
                <w:ilvl w:val="0"/>
                <w:numId w:val="2"/>
              </w:numPr>
              <w:tabs>
                <w:tab w:pos="467" w:val="left" w:leader="none"/>
                <w:tab w:pos="468" w:val="left" w:leader="none"/>
              </w:tabs>
              <w:spacing w:line="268" w:lineRule="exact" w:before="7" w:after="0"/>
              <w:ind w:left="467" w:right="199" w:hanging="360"/>
              <w:jc w:val="left"/>
              <w:rPr>
                <w:sz w:val="22"/>
              </w:rPr>
            </w:pPr>
            <w:r>
              <w:rPr>
                <w:sz w:val="22"/>
              </w:rPr>
              <w:t>The most recent external audit reports covering year end accounts for 2021/22 gave the opinion that the financial statements give a true and fair view of the financial position of the Chief Constable as at 31st March 2022 and of the Chief Constable’s expenditure and income for the year then ended; and have been properly prepared in accordance with the CIPFA/LASAAC Code of Practice on </w:t>
            </w:r>
            <w:r>
              <w:rPr>
                <w:spacing w:val="-3"/>
                <w:sz w:val="22"/>
              </w:rPr>
              <w:t>Local </w:t>
            </w:r>
            <w:r>
              <w:rPr>
                <w:sz w:val="22"/>
              </w:rPr>
              <w:t>Authority Accounting in the United Kingdom</w:t>
            </w:r>
            <w:r>
              <w:rPr>
                <w:spacing w:val="-9"/>
                <w:sz w:val="22"/>
              </w:rPr>
              <w:t> </w:t>
            </w:r>
            <w:r>
              <w:rPr>
                <w:sz w:val="22"/>
              </w:rPr>
              <w:t>2021/22.</w:t>
            </w:r>
          </w:p>
        </w:tc>
      </w:tr>
    </w:tbl>
    <w:p>
      <w:pPr>
        <w:spacing w:after="0" w:line="268" w:lineRule="exact"/>
        <w:jc w:val="left"/>
        <w:rPr>
          <w:sz w:val="22"/>
        </w:rPr>
        <w:sectPr>
          <w:pgSz w:w="11910" w:h="16840"/>
          <w:pgMar w:header="0" w:footer="443" w:top="780" w:bottom="72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154" w:hRule="atLeast"/>
        </w:trPr>
        <w:tc>
          <w:tcPr>
            <w:tcW w:w="1697" w:type="dxa"/>
          </w:tcPr>
          <w:p>
            <w:pPr>
              <w:pStyle w:val="TableParagraph"/>
              <w:rPr>
                <w:rFonts w:ascii="Times New Roman"/>
                <w:sz w:val="22"/>
              </w:rPr>
            </w:pPr>
          </w:p>
        </w:tc>
        <w:tc>
          <w:tcPr>
            <w:tcW w:w="7795" w:type="dxa"/>
          </w:tcPr>
          <w:p>
            <w:pPr>
              <w:pStyle w:val="TableParagraph"/>
              <w:numPr>
                <w:ilvl w:val="0"/>
                <w:numId w:val="3"/>
              </w:numPr>
              <w:tabs>
                <w:tab w:pos="467" w:val="left" w:leader="none"/>
                <w:tab w:pos="468" w:val="left" w:leader="none"/>
              </w:tabs>
              <w:spacing w:line="240" w:lineRule="auto" w:before="0" w:after="0"/>
              <w:ind w:left="467" w:right="224" w:hanging="360"/>
              <w:jc w:val="left"/>
              <w:rPr>
                <w:sz w:val="22"/>
              </w:rPr>
            </w:pPr>
            <w:r>
              <w:rPr>
                <w:sz w:val="22"/>
              </w:rPr>
              <w:t>Risks relating to effective financial control and planning processes, price volatility of critical assets required for the service impacting of affordability and current inflationary pressures being sustained beyond the life of the MTFP are listed on the Principal and Force Risk</w:t>
            </w:r>
            <w:r>
              <w:rPr>
                <w:spacing w:val="-14"/>
                <w:sz w:val="22"/>
              </w:rPr>
              <w:t> </w:t>
            </w:r>
            <w:r>
              <w:rPr>
                <w:sz w:val="22"/>
              </w:rPr>
              <w:t>Register.</w:t>
            </w:r>
          </w:p>
          <w:p>
            <w:pPr>
              <w:pStyle w:val="TableParagraph"/>
              <w:numPr>
                <w:ilvl w:val="0"/>
                <w:numId w:val="3"/>
              </w:numPr>
              <w:tabs>
                <w:tab w:pos="467" w:val="left" w:leader="none"/>
                <w:tab w:pos="468" w:val="left" w:leader="none"/>
              </w:tabs>
              <w:spacing w:line="240" w:lineRule="auto" w:before="0" w:after="0"/>
              <w:ind w:left="467" w:right="155" w:hanging="361"/>
              <w:jc w:val="left"/>
              <w:rPr>
                <w:sz w:val="22"/>
              </w:rPr>
            </w:pPr>
            <w:r>
              <w:rPr>
                <w:sz w:val="22"/>
              </w:rPr>
              <w:t>The recent HMICFRS PEEL Inspection (2022) found that while North Yorkshire Police’s financial plan is balanced, further detail is required on how we are using available resources to meet future</w:t>
            </w:r>
            <w:r>
              <w:rPr>
                <w:spacing w:val="-2"/>
                <w:sz w:val="22"/>
              </w:rPr>
              <w:t> </w:t>
            </w:r>
            <w:r>
              <w:rPr>
                <w:sz w:val="22"/>
              </w:rPr>
              <w:t>demands.</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2" w:hRule="atLeast"/>
        </w:trPr>
        <w:tc>
          <w:tcPr>
            <w:tcW w:w="9492" w:type="dxa"/>
            <w:gridSpan w:val="2"/>
            <w:shd w:val="clear" w:color="auto" w:fill="AD1E73"/>
          </w:tcPr>
          <w:p>
            <w:pPr>
              <w:pStyle w:val="TableParagraph"/>
              <w:spacing w:line="323" w:lineRule="exact"/>
              <w:ind w:left="107"/>
              <w:rPr>
                <w:b/>
                <w:sz w:val="28"/>
              </w:rPr>
            </w:pPr>
            <w:r>
              <w:rPr>
                <w:b/>
                <w:color w:val="FFFFFF"/>
                <w:sz w:val="28"/>
              </w:rPr>
              <w:t>Chapter 2: Wellbeing</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11140" w:hRule="atLeast"/>
        </w:trPr>
        <w:tc>
          <w:tcPr>
            <w:tcW w:w="1697" w:type="dxa"/>
          </w:tcPr>
          <w:p>
            <w:pPr>
              <w:pStyle w:val="TableParagraph"/>
              <w:spacing w:line="268" w:lineRule="exact"/>
              <w:ind w:left="107"/>
              <w:rPr>
                <w:sz w:val="22"/>
              </w:rPr>
            </w:pPr>
            <w:r>
              <w:rPr>
                <w:sz w:val="22"/>
              </w:rPr>
              <w:t>2. Wellbeing</w:t>
            </w:r>
          </w:p>
          <w:p>
            <w:pPr>
              <w:pStyle w:val="TableParagraph"/>
              <w:rPr>
                <w:sz w:val="22"/>
              </w:rPr>
            </w:pPr>
          </w:p>
          <w:p>
            <w:pPr>
              <w:pStyle w:val="TableParagraph"/>
              <w:ind w:left="256"/>
              <w:rPr>
                <w:sz w:val="20"/>
              </w:rPr>
            </w:pPr>
            <w:r>
              <w:rPr>
                <w:sz w:val="20"/>
              </w:rPr>
              <w:drawing>
                <wp:inline distT="0" distB="0" distL="0" distR="0">
                  <wp:extent cx="730377" cy="730376"/>
                  <wp:effectExtent l="0" t="0" r="0" b="0"/>
                  <wp:docPr id="7" name="image18.png"/>
                  <wp:cNvGraphicFramePr>
                    <a:graphicFrameLocks noChangeAspect="1"/>
                  </wp:cNvGraphicFramePr>
                  <a:graphic>
                    <a:graphicData uri="http://schemas.openxmlformats.org/drawingml/2006/picture">
                      <pic:pic>
                        <pic:nvPicPr>
                          <pic:cNvPr id="8" name="image18.png"/>
                          <pic:cNvPicPr/>
                        </pic:nvPicPr>
                        <pic:blipFill>
                          <a:blip r:embed="rId25" cstate="print"/>
                          <a:stretch>
                            <a:fillRect/>
                          </a:stretch>
                        </pic:blipFill>
                        <pic:spPr>
                          <a:xfrm>
                            <a:off x="0" y="0"/>
                            <a:ext cx="730377" cy="730376"/>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4"/>
              </w:numPr>
              <w:tabs>
                <w:tab w:pos="467" w:val="left" w:leader="none"/>
                <w:tab w:pos="468" w:val="left" w:leader="none"/>
              </w:tabs>
              <w:spacing w:line="240" w:lineRule="auto" w:before="0" w:after="0"/>
              <w:ind w:left="467" w:right="396" w:hanging="360"/>
              <w:jc w:val="left"/>
              <w:rPr>
                <w:sz w:val="22"/>
              </w:rPr>
            </w:pPr>
            <w:r>
              <w:rPr>
                <w:sz w:val="22"/>
              </w:rPr>
              <w:t>The HMICFRS PEEL Inspection, conducted in October 2022, highlighted that every single person they spoke to was committed, fully engaged in their work and doing a really good job in difficult circumstances and that the workforce takes pride in being part of North Yorkshire Police and hold a strong sense of belonging in the</w:t>
            </w:r>
            <w:r>
              <w:rPr>
                <w:spacing w:val="-2"/>
                <w:sz w:val="22"/>
              </w:rPr>
              <w:t> </w:t>
            </w:r>
            <w:r>
              <w:rPr>
                <w:sz w:val="22"/>
              </w:rPr>
              <w:t>force.</w:t>
            </w:r>
          </w:p>
          <w:p>
            <w:pPr>
              <w:pStyle w:val="TableParagraph"/>
              <w:numPr>
                <w:ilvl w:val="0"/>
                <w:numId w:val="4"/>
              </w:numPr>
              <w:tabs>
                <w:tab w:pos="467" w:val="left" w:leader="none"/>
                <w:tab w:pos="468" w:val="left" w:leader="none"/>
              </w:tabs>
              <w:spacing w:line="240" w:lineRule="auto" w:before="0" w:after="0"/>
              <w:ind w:left="467" w:right="892" w:hanging="361"/>
              <w:jc w:val="left"/>
              <w:rPr>
                <w:sz w:val="22"/>
              </w:rPr>
            </w:pPr>
            <w:r>
              <w:rPr>
                <w:sz w:val="22"/>
              </w:rPr>
              <w:t>During the past five years Wellbeing has gained a high level of emphasis nationally in the emergency</w:t>
            </w:r>
            <w:r>
              <w:rPr>
                <w:spacing w:val="-4"/>
                <w:sz w:val="22"/>
              </w:rPr>
              <w:t> </w:t>
            </w:r>
            <w:r>
              <w:rPr>
                <w:sz w:val="22"/>
              </w:rPr>
              <w:t>services.</w:t>
            </w:r>
          </w:p>
          <w:p>
            <w:pPr>
              <w:pStyle w:val="TableParagraph"/>
              <w:numPr>
                <w:ilvl w:val="0"/>
                <w:numId w:val="4"/>
              </w:numPr>
              <w:tabs>
                <w:tab w:pos="467" w:val="left" w:leader="none"/>
                <w:tab w:pos="468" w:val="left" w:leader="none"/>
              </w:tabs>
              <w:spacing w:line="240" w:lineRule="auto" w:before="0" w:after="0"/>
              <w:ind w:left="467" w:right="210" w:hanging="361"/>
              <w:jc w:val="left"/>
              <w:rPr>
                <w:sz w:val="22"/>
              </w:rPr>
            </w:pPr>
            <w:r>
              <w:rPr>
                <w:sz w:val="22"/>
              </w:rPr>
              <w:t>To follow on and enhance our wellbeing approach, we launched our Health and Wellbeing Strategy in January 2023, which aims to further integrate health and wellbeing throughout North Yorkshire Police by including initiatives in daily working activities to create a positive and healthy working</w:t>
            </w:r>
            <w:r>
              <w:rPr>
                <w:spacing w:val="-15"/>
                <w:sz w:val="22"/>
              </w:rPr>
              <w:t> </w:t>
            </w:r>
            <w:r>
              <w:rPr>
                <w:sz w:val="22"/>
              </w:rPr>
              <w:t>environment.</w:t>
            </w:r>
          </w:p>
          <w:p>
            <w:pPr>
              <w:pStyle w:val="TableParagraph"/>
              <w:numPr>
                <w:ilvl w:val="0"/>
                <w:numId w:val="4"/>
              </w:numPr>
              <w:tabs>
                <w:tab w:pos="467" w:val="left" w:leader="none"/>
                <w:tab w:pos="468" w:val="left" w:leader="none"/>
              </w:tabs>
              <w:spacing w:line="240" w:lineRule="auto" w:before="0" w:after="0"/>
              <w:ind w:left="467" w:right="155" w:hanging="361"/>
              <w:jc w:val="left"/>
              <w:rPr>
                <w:sz w:val="22"/>
              </w:rPr>
            </w:pPr>
            <w:r>
              <w:rPr>
                <w:sz w:val="22"/>
              </w:rPr>
              <w:t>The vision within North Yorkshire Police is for wellbeing to be at the heart of everything we do, integrated with our core values and key priorities, resulting in a workforce that feels valued and supported to do the best job they can for the people of North</w:t>
            </w:r>
            <w:r>
              <w:rPr>
                <w:spacing w:val="-6"/>
                <w:sz w:val="22"/>
              </w:rPr>
              <w:t> </w:t>
            </w:r>
            <w:r>
              <w:rPr>
                <w:sz w:val="22"/>
              </w:rPr>
              <w:t>Yorkshire.</w:t>
            </w:r>
          </w:p>
          <w:p>
            <w:pPr>
              <w:pStyle w:val="TableParagraph"/>
              <w:numPr>
                <w:ilvl w:val="0"/>
                <w:numId w:val="4"/>
              </w:numPr>
              <w:tabs>
                <w:tab w:pos="467" w:val="left" w:leader="none"/>
                <w:tab w:pos="468" w:val="left" w:leader="none"/>
              </w:tabs>
              <w:spacing w:line="240" w:lineRule="auto" w:before="0" w:after="0"/>
              <w:ind w:left="467" w:right="332" w:hanging="361"/>
              <w:jc w:val="left"/>
              <w:rPr>
                <w:sz w:val="22"/>
              </w:rPr>
            </w:pPr>
            <w:r>
              <w:rPr>
                <w:sz w:val="22"/>
              </w:rPr>
              <w:t>An action plan has been developed to set out the delivery of the Strategy over the next four years and </w:t>
            </w:r>
            <w:r>
              <w:rPr>
                <w:spacing w:val="-2"/>
                <w:sz w:val="22"/>
              </w:rPr>
              <w:t>how </w:t>
            </w:r>
            <w:r>
              <w:rPr>
                <w:sz w:val="22"/>
              </w:rPr>
              <w:t>we will achieve our strategic</w:t>
            </w:r>
            <w:r>
              <w:rPr>
                <w:spacing w:val="-5"/>
                <w:sz w:val="22"/>
              </w:rPr>
              <w:t> </w:t>
            </w:r>
            <w:r>
              <w:rPr>
                <w:sz w:val="22"/>
              </w:rPr>
              <w:t>aims.</w:t>
            </w:r>
          </w:p>
          <w:p>
            <w:pPr>
              <w:pStyle w:val="TableParagraph"/>
              <w:numPr>
                <w:ilvl w:val="0"/>
                <w:numId w:val="4"/>
              </w:numPr>
              <w:tabs>
                <w:tab w:pos="467" w:val="left" w:leader="none"/>
                <w:tab w:pos="468" w:val="left" w:leader="none"/>
              </w:tabs>
              <w:spacing w:line="240" w:lineRule="auto" w:before="0" w:after="0"/>
              <w:ind w:left="467" w:right="257" w:hanging="361"/>
              <w:jc w:val="left"/>
              <w:rPr>
                <w:sz w:val="22"/>
              </w:rPr>
            </w:pPr>
            <w:r>
              <w:rPr>
                <w:sz w:val="22"/>
              </w:rPr>
              <w:t>Our Health and Wellbeing Strategy focuses on four key areas of integrated wellbeing – mental wellbeing, physical wellbeing, social wellbeing and financial wellbeing.</w:t>
            </w:r>
          </w:p>
          <w:p>
            <w:pPr>
              <w:pStyle w:val="TableParagraph"/>
              <w:numPr>
                <w:ilvl w:val="0"/>
                <w:numId w:val="4"/>
              </w:numPr>
              <w:tabs>
                <w:tab w:pos="467" w:val="left" w:leader="none"/>
                <w:tab w:pos="468" w:val="left" w:leader="none"/>
              </w:tabs>
              <w:spacing w:line="240" w:lineRule="auto" w:before="0" w:after="0"/>
              <w:ind w:left="467" w:right="209" w:hanging="361"/>
              <w:jc w:val="left"/>
              <w:rPr>
                <w:sz w:val="22"/>
              </w:rPr>
            </w:pPr>
            <w:r>
              <w:rPr>
                <w:sz w:val="22"/>
              </w:rPr>
              <w:t>The wellbeing approach was launched in 2018, underpinning this was the Wellbeing Pledge, which was launched in 2020, and aimed to promote a happy, healthy, engaged, and productive workforce. Each year a new theme for the Pledge is promoted which is informed by emerging topics that occurred in the previous year from survey results and feedback from the workforce and the theme for 2023 is “Invest in</w:t>
            </w:r>
            <w:r>
              <w:rPr>
                <w:spacing w:val="-1"/>
                <w:sz w:val="22"/>
              </w:rPr>
              <w:t> </w:t>
            </w:r>
            <w:r>
              <w:rPr>
                <w:sz w:val="22"/>
              </w:rPr>
              <w:t>Yourself”.</w:t>
            </w:r>
          </w:p>
          <w:p>
            <w:pPr>
              <w:pStyle w:val="TableParagraph"/>
              <w:numPr>
                <w:ilvl w:val="0"/>
                <w:numId w:val="4"/>
              </w:numPr>
              <w:tabs>
                <w:tab w:pos="467" w:val="left" w:leader="none"/>
                <w:tab w:pos="468" w:val="left" w:leader="none"/>
              </w:tabs>
              <w:spacing w:line="240" w:lineRule="auto" w:before="0" w:after="0"/>
              <w:ind w:left="467" w:right="182" w:hanging="360"/>
              <w:jc w:val="left"/>
              <w:rPr>
                <w:sz w:val="22"/>
              </w:rPr>
            </w:pPr>
            <w:r>
              <w:rPr>
                <w:sz w:val="22"/>
              </w:rPr>
              <w:t>In April 2022, North Yorkshire Police acquired a corporate membership with the Calm App, so that officers, staff and their families, could all benefit from the award-winning app designed to help improve sleep quality, reduce stress and anxiety and to improve</w:t>
            </w:r>
            <w:r>
              <w:rPr>
                <w:spacing w:val="-1"/>
                <w:sz w:val="22"/>
              </w:rPr>
              <w:t> </w:t>
            </w:r>
            <w:r>
              <w:rPr>
                <w:sz w:val="22"/>
              </w:rPr>
              <w:t>focus.</w:t>
            </w:r>
          </w:p>
          <w:p>
            <w:pPr>
              <w:pStyle w:val="TableParagraph"/>
              <w:numPr>
                <w:ilvl w:val="0"/>
                <w:numId w:val="4"/>
              </w:numPr>
              <w:tabs>
                <w:tab w:pos="467" w:val="left" w:leader="none"/>
                <w:tab w:pos="468" w:val="left" w:leader="none"/>
              </w:tabs>
              <w:spacing w:line="240" w:lineRule="auto" w:before="0" w:after="0"/>
              <w:ind w:left="467" w:right="184" w:hanging="361"/>
              <w:jc w:val="left"/>
              <w:rPr>
                <w:sz w:val="22"/>
              </w:rPr>
            </w:pPr>
            <w:r>
              <w:rPr>
                <w:sz w:val="22"/>
              </w:rPr>
              <w:t>In May 2023, North Yorkshire Police launched the Oscar Kilo National Wellbeing Survey (staff survey) supported by force wide communications and will use the findings from this survey to both evaluate its current wellbeing offering but also in to inform future initiatives and</w:t>
            </w:r>
            <w:r>
              <w:rPr>
                <w:spacing w:val="-4"/>
                <w:sz w:val="22"/>
              </w:rPr>
              <w:t> </w:t>
            </w:r>
            <w:r>
              <w:rPr>
                <w:sz w:val="22"/>
              </w:rPr>
              <w:t>activities.</w:t>
            </w:r>
          </w:p>
          <w:p>
            <w:pPr>
              <w:pStyle w:val="TableParagraph"/>
              <w:numPr>
                <w:ilvl w:val="0"/>
                <w:numId w:val="4"/>
              </w:numPr>
              <w:tabs>
                <w:tab w:pos="468" w:val="left" w:leader="none"/>
                <w:tab w:pos="469" w:val="left" w:leader="none"/>
              </w:tabs>
              <w:spacing w:line="240" w:lineRule="auto" w:before="0" w:after="0"/>
              <w:ind w:left="468" w:right="226" w:hanging="361"/>
              <w:jc w:val="left"/>
              <w:rPr>
                <w:sz w:val="22"/>
              </w:rPr>
            </w:pPr>
            <w:r>
              <w:rPr>
                <w:sz w:val="22"/>
              </w:rPr>
              <w:t>For the financial year 2022/23 (where Officers and staff have returned to work) Psychological ill health represents around 9.28% of all absences but accounted for around 29.4% of lost working</w:t>
            </w:r>
            <w:r>
              <w:rPr>
                <w:spacing w:val="-9"/>
                <w:sz w:val="22"/>
              </w:rPr>
              <w:t> </w:t>
            </w:r>
            <w:r>
              <w:rPr>
                <w:sz w:val="22"/>
              </w:rPr>
              <w:t>hours.</w:t>
            </w:r>
          </w:p>
          <w:p>
            <w:pPr>
              <w:pStyle w:val="TableParagraph"/>
              <w:numPr>
                <w:ilvl w:val="0"/>
                <w:numId w:val="4"/>
              </w:numPr>
              <w:tabs>
                <w:tab w:pos="467" w:val="left" w:leader="none"/>
                <w:tab w:pos="468" w:val="left" w:leader="none"/>
              </w:tabs>
              <w:spacing w:line="240" w:lineRule="auto" w:before="0" w:after="0"/>
              <w:ind w:left="467" w:right="364" w:hanging="361"/>
              <w:jc w:val="left"/>
              <w:rPr>
                <w:sz w:val="22"/>
              </w:rPr>
            </w:pPr>
            <w:r>
              <w:rPr>
                <w:sz w:val="22"/>
              </w:rPr>
              <w:t>PCSO’s have the highest absence rate at 5.5%, Police officers at a rate of 4.3% and police staff with the lowest at 3.5%. Collectively over the year this has resulted in 184,049 working hours being lost to sickness across all parts of</w:t>
            </w:r>
            <w:r>
              <w:rPr>
                <w:spacing w:val="-29"/>
                <w:sz w:val="22"/>
              </w:rPr>
              <w:t> </w:t>
            </w:r>
            <w:r>
              <w:rPr>
                <w:sz w:val="22"/>
              </w:rPr>
              <w:t>the</w:t>
            </w:r>
          </w:p>
          <w:p>
            <w:pPr>
              <w:pStyle w:val="TableParagraph"/>
              <w:spacing w:line="250" w:lineRule="exact"/>
              <w:ind w:left="467"/>
              <w:rPr>
                <w:sz w:val="22"/>
              </w:rPr>
            </w:pPr>
            <w:r>
              <w:rPr>
                <w:sz w:val="22"/>
              </w:rPr>
              <w:t>business which for Police officers is equivalent of losing 71 officers active-duty</w:t>
            </w:r>
          </w:p>
        </w:tc>
      </w:tr>
    </w:tbl>
    <w:p>
      <w:pPr>
        <w:spacing w:after="0" w:line="250" w:lineRule="exact"/>
        <w:rPr>
          <w:sz w:val="22"/>
        </w:rPr>
        <w:sectPr>
          <w:pgSz w:w="11910" w:h="16840"/>
          <w:pgMar w:header="0" w:footer="443" w:top="820" w:bottom="72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4385" w:hRule="atLeast"/>
        </w:trPr>
        <w:tc>
          <w:tcPr>
            <w:tcW w:w="1697" w:type="dxa"/>
          </w:tcPr>
          <w:p>
            <w:pPr>
              <w:pStyle w:val="TableParagraph"/>
              <w:rPr>
                <w:rFonts w:ascii="Times New Roman"/>
                <w:sz w:val="22"/>
              </w:rPr>
            </w:pPr>
          </w:p>
        </w:tc>
        <w:tc>
          <w:tcPr>
            <w:tcW w:w="7795" w:type="dxa"/>
          </w:tcPr>
          <w:p>
            <w:pPr>
              <w:pStyle w:val="TableParagraph"/>
              <w:spacing w:line="237" w:lineRule="auto" w:before="1"/>
              <w:ind w:left="467" w:right="218"/>
              <w:rPr>
                <w:sz w:val="22"/>
              </w:rPr>
            </w:pPr>
            <w:r>
              <w:rPr>
                <w:sz w:val="22"/>
              </w:rPr>
              <w:t>time for the year. This is a reduction when compared to FMS4 of 8% of working hours lost.</w:t>
            </w:r>
          </w:p>
          <w:p>
            <w:pPr>
              <w:pStyle w:val="TableParagraph"/>
              <w:numPr>
                <w:ilvl w:val="0"/>
                <w:numId w:val="5"/>
              </w:numPr>
              <w:tabs>
                <w:tab w:pos="467" w:val="left" w:leader="none"/>
                <w:tab w:pos="468" w:val="left" w:leader="none"/>
              </w:tabs>
              <w:spacing w:line="240" w:lineRule="auto" w:before="2" w:after="0"/>
              <w:ind w:left="467" w:right="176" w:hanging="361"/>
              <w:jc w:val="left"/>
              <w:rPr>
                <w:sz w:val="22"/>
              </w:rPr>
            </w:pPr>
            <w:r>
              <w:rPr>
                <w:sz w:val="22"/>
              </w:rPr>
              <w:t>When looking at the HMICFRS VfM profiles for 2021/22, for NYP long term absence was 3.4% of all officer FTE when compared to 1.8% nationally and 1.6% within our Most Similar Group (MSG) of</w:t>
            </w:r>
            <w:r>
              <w:rPr>
                <w:spacing w:val="-9"/>
                <w:sz w:val="22"/>
              </w:rPr>
              <w:t> </w:t>
            </w:r>
            <w:r>
              <w:rPr>
                <w:sz w:val="22"/>
              </w:rPr>
              <w:t>forces.</w:t>
            </w:r>
          </w:p>
          <w:p>
            <w:pPr>
              <w:pStyle w:val="TableParagraph"/>
              <w:numPr>
                <w:ilvl w:val="0"/>
                <w:numId w:val="5"/>
              </w:numPr>
              <w:tabs>
                <w:tab w:pos="467" w:val="left" w:leader="none"/>
                <w:tab w:pos="468" w:val="left" w:leader="none"/>
              </w:tabs>
              <w:spacing w:line="240" w:lineRule="auto" w:before="0" w:after="0"/>
              <w:ind w:left="467" w:right="618" w:hanging="361"/>
              <w:jc w:val="left"/>
              <w:rPr>
                <w:sz w:val="22"/>
              </w:rPr>
            </w:pPr>
            <w:r>
              <w:rPr>
                <w:sz w:val="22"/>
              </w:rPr>
              <w:t>Psychological appointments have continued to remain high in 2022/23 and physiological appointments have seen a marked increase in</w:t>
            </w:r>
            <w:r>
              <w:rPr>
                <w:spacing w:val="-17"/>
                <w:sz w:val="22"/>
              </w:rPr>
              <w:t> </w:t>
            </w:r>
            <w:r>
              <w:rPr>
                <w:sz w:val="22"/>
              </w:rPr>
              <w:t>2022/23.</w:t>
            </w:r>
          </w:p>
          <w:p>
            <w:pPr>
              <w:pStyle w:val="TableParagraph"/>
              <w:numPr>
                <w:ilvl w:val="0"/>
                <w:numId w:val="5"/>
              </w:numPr>
              <w:tabs>
                <w:tab w:pos="468" w:val="left" w:leader="none"/>
                <w:tab w:pos="469" w:val="left" w:leader="none"/>
              </w:tabs>
              <w:spacing w:line="240" w:lineRule="auto" w:before="0" w:after="0"/>
              <w:ind w:left="467" w:right="100" w:hanging="360"/>
              <w:jc w:val="left"/>
              <w:rPr>
                <w:sz w:val="22"/>
              </w:rPr>
            </w:pPr>
            <w:r>
              <w:rPr>
                <w:sz w:val="22"/>
              </w:rPr>
              <w:t>TRiM is an evidence-based peer led process that helps to identify the emotional impact that an event has had on an individual and assess whether or not additional support is required, and North Yorkshire Police is reviewing the existing TRiM process and has invested in two train the trainer courses to ensure that we have sustainable levels of TRiM</w:t>
            </w:r>
            <w:r>
              <w:rPr>
                <w:spacing w:val="-6"/>
                <w:sz w:val="22"/>
              </w:rPr>
              <w:t> </w:t>
            </w:r>
            <w:r>
              <w:rPr>
                <w:sz w:val="22"/>
              </w:rPr>
              <w:t>practitioners.</w:t>
            </w:r>
          </w:p>
          <w:p>
            <w:pPr>
              <w:pStyle w:val="TableParagraph"/>
              <w:numPr>
                <w:ilvl w:val="0"/>
                <w:numId w:val="5"/>
              </w:numPr>
              <w:tabs>
                <w:tab w:pos="468" w:val="left" w:leader="none"/>
                <w:tab w:pos="469" w:val="left" w:leader="none"/>
              </w:tabs>
              <w:spacing w:line="240" w:lineRule="auto" w:before="0" w:after="0"/>
              <w:ind w:left="468" w:right="121" w:hanging="361"/>
              <w:jc w:val="left"/>
              <w:rPr>
                <w:sz w:val="22"/>
              </w:rPr>
            </w:pPr>
            <w:r>
              <w:rPr>
                <w:sz w:val="22"/>
              </w:rPr>
              <w:t>North Yorkshire Police now has the ability to conduct force wide audits in relation to officers who exceed the working time regulations. This process has only recently commenced in addition to any breaches identified by the Resource Management Unit (RMU) where the information will also be provided to senior leaders to have the appropriate oversight and effectively manage compliance with the Working Time</w:t>
            </w:r>
            <w:r>
              <w:rPr>
                <w:spacing w:val="-7"/>
                <w:sz w:val="22"/>
              </w:rPr>
              <w:t> </w:t>
            </w:r>
            <w:r>
              <w:rPr>
                <w:sz w:val="22"/>
              </w:rPr>
              <w:t>Directive.</w:t>
            </w:r>
          </w:p>
          <w:p>
            <w:pPr>
              <w:pStyle w:val="TableParagraph"/>
              <w:numPr>
                <w:ilvl w:val="0"/>
                <w:numId w:val="5"/>
              </w:numPr>
              <w:tabs>
                <w:tab w:pos="468" w:val="left" w:leader="none"/>
                <w:tab w:pos="469" w:val="left" w:leader="none"/>
              </w:tabs>
              <w:spacing w:line="240" w:lineRule="auto" w:before="0" w:after="0"/>
              <w:ind w:left="468" w:right="145" w:hanging="361"/>
              <w:jc w:val="left"/>
              <w:rPr>
                <w:sz w:val="22"/>
              </w:rPr>
            </w:pPr>
            <w:r>
              <w:rPr>
                <w:sz w:val="22"/>
              </w:rPr>
              <w:t>The blue light framework self-assessment gap analysis has recently been refreshed and completed to identify areas of development which will be used to inform areas of wellbeing activity and</w:t>
            </w:r>
            <w:r>
              <w:rPr>
                <w:spacing w:val="-8"/>
                <w:sz w:val="22"/>
              </w:rPr>
              <w:t> </w:t>
            </w:r>
            <w:r>
              <w:rPr>
                <w:sz w:val="22"/>
              </w:rPr>
              <w:t>development.</w:t>
            </w:r>
          </w:p>
          <w:p>
            <w:pPr>
              <w:pStyle w:val="TableParagraph"/>
              <w:numPr>
                <w:ilvl w:val="0"/>
                <w:numId w:val="5"/>
              </w:numPr>
              <w:tabs>
                <w:tab w:pos="468" w:val="left" w:leader="none"/>
                <w:tab w:pos="469" w:val="left" w:leader="none"/>
              </w:tabs>
              <w:spacing w:line="240" w:lineRule="auto" w:before="0" w:after="0"/>
              <w:ind w:left="468" w:right="320" w:hanging="361"/>
              <w:jc w:val="left"/>
              <w:rPr>
                <w:sz w:val="22"/>
              </w:rPr>
            </w:pPr>
            <w:r>
              <w:rPr>
                <w:sz w:val="22"/>
              </w:rPr>
              <w:t>Since 2016, there has been an increase in the number of police officers (in line with the Police Uplift Programme) and police staff (Home Office data,</w:t>
            </w:r>
            <w:r>
              <w:rPr>
                <w:spacing w:val="-23"/>
                <w:sz w:val="22"/>
              </w:rPr>
              <w:t> </w:t>
            </w:r>
            <w:r>
              <w:rPr>
                <w:sz w:val="22"/>
              </w:rPr>
              <w:t>FTE).</w:t>
            </w:r>
          </w:p>
          <w:p>
            <w:pPr>
              <w:pStyle w:val="TableParagraph"/>
              <w:numPr>
                <w:ilvl w:val="0"/>
                <w:numId w:val="5"/>
              </w:numPr>
              <w:tabs>
                <w:tab w:pos="468" w:val="left" w:leader="none"/>
                <w:tab w:pos="469" w:val="left" w:leader="none"/>
              </w:tabs>
              <w:spacing w:line="279" w:lineRule="exact" w:before="0" w:after="0"/>
              <w:ind w:left="468" w:right="0" w:hanging="361"/>
              <w:jc w:val="left"/>
              <w:rPr>
                <w:sz w:val="22"/>
              </w:rPr>
            </w:pPr>
            <w:r>
              <w:rPr>
                <w:sz w:val="22"/>
              </w:rPr>
              <w:t>North Yorkshire Police’s rank profile is broadly in line with the national</w:t>
            </w:r>
            <w:r>
              <w:rPr>
                <w:spacing w:val="-25"/>
                <w:sz w:val="22"/>
              </w:rPr>
              <w:t> </w:t>
            </w:r>
            <w:r>
              <w:rPr>
                <w:sz w:val="22"/>
              </w:rPr>
              <w:t>profile.</w:t>
            </w:r>
          </w:p>
          <w:p>
            <w:pPr>
              <w:pStyle w:val="TableParagraph"/>
              <w:numPr>
                <w:ilvl w:val="0"/>
                <w:numId w:val="5"/>
              </w:numPr>
              <w:tabs>
                <w:tab w:pos="468" w:val="left" w:leader="none"/>
                <w:tab w:pos="470" w:val="left" w:leader="none"/>
              </w:tabs>
              <w:spacing w:line="240" w:lineRule="auto" w:before="1" w:after="0"/>
              <w:ind w:left="469" w:right="251" w:hanging="361"/>
              <w:jc w:val="left"/>
              <w:rPr>
                <w:sz w:val="22"/>
              </w:rPr>
            </w:pPr>
            <w:r>
              <w:rPr>
                <w:sz w:val="22"/>
              </w:rPr>
              <w:t>Approximately 41.16% of police staff are over 50 years of age which may have implications for managing an older workforce in terms of health and wellbeing. In relation to PCSO’s the age profile is relatively young with approximately 52.35% of staff being under the age of 41. In relation to police officers, 54.45% are under the age of 41. This demonstrates that North Yorkshire Police now manages a multi–generational workforce who expect different things from an employer.</w:t>
            </w:r>
          </w:p>
          <w:p>
            <w:pPr>
              <w:pStyle w:val="TableParagraph"/>
              <w:numPr>
                <w:ilvl w:val="0"/>
                <w:numId w:val="5"/>
              </w:numPr>
              <w:tabs>
                <w:tab w:pos="469" w:val="left" w:leader="none"/>
                <w:tab w:pos="470" w:val="left" w:leader="none"/>
              </w:tabs>
              <w:spacing w:line="240" w:lineRule="auto" w:before="0" w:after="0"/>
              <w:ind w:left="469" w:right="279" w:hanging="361"/>
              <w:jc w:val="left"/>
              <w:rPr>
                <w:sz w:val="22"/>
              </w:rPr>
            </w:pPr>
            <w:r>
              <w:rPr>
                <w:sz w:val="22"/>
              </w:rPr>
              <w:t>Approximately 2.28% of North Yorkshire Police employees overall are Black, Asian or Mixed Ethnicities. The 2021 Census data showed that 4.3% of the population of North Yorkshire and York are from Black, Asian and Mixed Ethnicities which indicates that the force is not yet representative of our local communities. A Diversity, Equality and Inclusion (DEI) Plan is focused on increasing representation in the Force which is supported by a Positive Action Strategy and Delivery Plan and is overseen through the DEI Gold structure. The force complements the Strategy and plan with additional key activity from the National Race Action</w:t>
            </w:r>
            <w:r>
              <w:rPr>
                <w:spacing w:val="-3"/>
                <w:sz w:val="22"/>
              </w:rPr>
              <w:t> </w:t>
            </w:r>
            <w:r>
              <w:rPr>
                <w:sz w:val="22"/>
              </w:rPr>
              <w:t>Plan.</w:t>
            </w:r>
          </w:p>
          <w:p>
            <w:pPr>
              <w:pStyle w:val="TableParagraph"/>
              <w:numPr>
                <w:ilvl w:val="0"/>
                <w:numId w:val="5"/>
              </w:numPr>
              <w:tabs>
                <w:tab w:pos="470" w:val="left" w:leader="none"/>
              </w:tabs>
              <w:spacing w:line="240" w:lineRule="auto" w:before="0" w:after="0"/>
              <w:ind w:left="469" w:right="545" w:hanging="361"/>
              <w:jc w:val="both"/>
              <w:rPr>
                <w:sz w:val="22"/>
              </w:rPr>
            </w:pPr>
            <w:r>
              <w:rPr>
                <w:sz w:val="22"/>
              </w:rPr>
              <w:t>In 2022, North Yorkshire Police launched “Safe to Say” where we asked our workforce to confidentially volunteer information regarding their protected characteristics. Currently only 0.85% of all employees have failed to identify their</w:t>
            </w:r>
            <w:r>
              <w:rPr>
                <w:spacing w:val="-1"/>
                <w:sz w:val="22"/>
              </w:rPr>
              <w:t> </w:t>
            </w:r>
            <w:r>
              <w:rPr>
                <w:sz w:val="22"/>
              </w:rPr>
              <w:t>ethnicity.</w:t>
            </w:r>
          </w:p>
          <w:p>
            <w:pPr>
              <w:pStyle w:val="TableParagraph"/>
              <w:numPr>
                <w:ilvl w:val="0"/>
                <w:numId w:val="5"/>
              </w:numPr>
              <w:tabs>
                <w:tab w:pos="469" w:val="left" w:leader="none"/>
                <w:tab w:pos="470" w:val="left" w:leader="none"/>
              </w:tabs>
              <w:spacing w:line="240" w:lineRule="auto" w:before="0" w:after="0"/>
              <w:ind w:left="469" w:right="115" w:hanging="361"/>
              <w:jc w:val="left"/>
              <w:rPr>
                <w:sz w:val="22"/>
              </w:rPr>
            </w:pPr>
            <w:r>
              <w:rPr>
                <w:sz w:val="22"/>
              </w:rPr>
              <w:t>In 2022, the force implemented a new, reinvigorated strategic approach to Positive Action, this included developing an effective operational plan and realigning resources to lead this work which has seen an increase in the diversity of people applying for the most recent round of recruitment for police</w:t>
            </w:r>
            <w:r>
              <w:rPr>
                <w:spacing w:val="-25"/>
                <w:sz w:val="22"/>
              </w:rPr>
              <w:t> </w:t>
            </w:r>
            <w:r>
              <w:rPr>
                <w:sz w:val="22"/>
              </w:rPr>
              <w:t>officers.</w:t>
            </w:r>
          </w:p>
          <w:p>
            <w:pPr>
              <w:pStyle w:val="TableParagraph"/>
              <w:numPr>
                <w:ilvl w:val="0"/>
                <w:numId w:val="5"/>
              </w:numPr>
              <w:tabs>
                <w:tab w:pos="469" w:val="left" w:leader="none"/>
                <w:tab w:pos="470" w:val="left" w:leader="none"/>
              </w:tabs>
              <w:spacing w:line="240" w:lineRule="auto" w:before="0" w:after="0"/>
              <w:ind w:left="469" w:right="200" w:hanging="361"/>
              <w:jc w:val="left"/>
              <w:rPr>
                <w:sz w:val="22"/>
              </w:rPr>
            </w:pPr>
            <w:r>
              <w:rPr>
                <w:sz w:val="22"/>
              </w:rPr>
              <w:t>The Home Office statistics show that North Yorkshire Police have a higher proportion of females in police officer, PCSO and Special roles than the national average, but have a lesser proportion of female police</w:t>
            </w:r>
            <w:r>
              <w:rPr>
                <w:spacing w:val="-7"/>
                <w:sz w:val="22"/>
              </w:rPr>
              <w:t> </w:t>
            </w:r>
            <w:r>
              <w:rPr>
                <w:sz w:val="22"/>
              </w:rPr>
              <w:t>staff.</w:t>
            </w:r>
          </w:p>
          <w:p>
            <w:pPr>
              <w:pStyle w:val="TableParagraph"/>
              <w:numPr>
                <w:ilvl w:val="0"/>
                <w:numId w:val="5"/>
              </w:numPr>
              <w:tabs>
                <w:tab w:pos="467" w:val="left" w:leader="none"/>
                <w:tab w:pos="468" w:val="left" w:leader="none"/>
              </w:tabs>
              <w:spacing w:line="270" w:lineRule="atLeast" w:before="1" w:after="0"/>
              <w:ind w:left="467" w:right="136" w:hanging="360"/>
              <w:jc w:val="left"/>
              <w:rPr>
                <w:sz w:val="22"/>
              </w:rPr>
            </w:pPr>
            <w:r>
              <w:rPr>
                <w:sz w:val="22"/>
              </w:rPr>
              <w:t>The HMICFRS VfM profiles for 2021/22 identified a police officer attrition rate of 7.5% made up predominantly by retirements (3.4%) and resignations</w:t>
            </w:r>
            <w:r>
              <w:rPr>
                <w:spacing w:val="-19"/>
                <w:sz w:val="22"/>
              </w:rPr>
              <w:t> </w:t>
            </w:r>
            <w:r>
              <w:rPr>
                <w:sz w:val="22"/>
              </w:rPr>
              <w:t>(2.6%)</w:t>
            </w:r>
          </w:p>
        </w:tc>
      </w:tr>
    </w:tbl>
    <w:p>
      <w:pPr>
        <w:spacing w:after="0" w:line="270" w:lineRule="atLeast"/>
        <w:jc w:val="left"/>
        <w:rPr>
          <w:sz w:val="22"/>
        </w:rPr>
        <w:sectPr>
          <w:pgSz w:w="11910" w:h="16840"/>
          <w:pgMar w:header="0" w:footer="443" w:top="820" w:bottom="72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736" w:hRule="atLeast"/>
        </w:trPr>
        <w:tc>
          <w:tcPr>
            <w:tcW w:w="1697" w:type="dxa"/>
          </w:tcPr>
          <w:p>
            <w:pPr>
              <w:pStyle w:val="TableParagraph"/>
              <w:rPr>
                <w:rFonts w:ascii="Times New Roman"/>
                <w:sz w:val="22"/>
              </w:rPr>
            </w:pPr>
          </w:p>
        </w:tc>
        <w:tc>
          <w:tcPr>
            <w:tcW w:w="7795" w:type="dxa"/>
          </w:tcPr>
          <w:p>
            <w:pPr>
              <w:pStyle w:val="TableParagraph"/>
              <w:ind w:left="467" w:right="296"/>
              <w:rPr>
                <w:sz w:val="22"/>
              </w:rPr>
            </w:pPr>
            <w:r>
              <w:rPr>
                <w:sz w:val="22"/>
              </w:rPr>
              <w:t>which places North Yorkshire Police fifteenth of all the police forces in relation to officer attrition (4th in MSF).</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0" w:hRule="atLeast"/>
        </w:trPr>
        <w:tc>
          <w:tcPr>
            <w:tcW w:w="9492" w:type="dxa"/>
            <w:gridSpan w:val="2"/>
            <w:shd w:val="clear" w:color="auto" w:fill="1771B8"/>
          </w:tcPr>
          <w:p>
            <w:pPr>
              <w:pStyle w:val="TableParagraph"/>
              <w:spacing w:line="320" w:lineRule="exact"/>
              <w:ind w:left="107"/>
              <w:rPr>
                <w:b/>
                <w:sz w:val="28"/>
              </w:rPr>
            </w:pPr>
            <w:r>
              <w:rPr>
                <w:b/>
                <w:color w:val="FFFFFF"/>
                <w:sz w:val="28"/>
              </w:rPr>
              <w:t>Chapter 3: Responding to the Public</w:t>
            </w:r>
          </w:p>
        </w:tc>
      </w:tr>
      <w:tr>
        <w:trPr>
          <w:trHeight w:val="270" w:hRule="atLeast"/>
        </w:trPr>
        <w:tc>
          <w:tcPr>
            <w:tcW w:w="1697" w:type="dxa"/>
            <w:shd w:val="clear" w:color="auto" w:fill="D9E1F3"/>
          </w:tcPr>
          <w:p>
            <w:pPr>
              <w:pStyle w:val="TableParagraph"/>
              <w:spacing w:line="249" w:lineRule="exact" w:before="1"/>
              <w:ind w:left="107"/>
              <w:rPr>
                <w:b/>
                <w:sz w:val="22"/>
              </w:rPr>
            </w:pPr>
            <w:r>
              <w:rPr>
                <w:b/>
                <w:sz w:val="22"/>
              </w:rPr>
              <w:t>Section</w:t>
            </w:r>
          </w:p>
        </w:tc>
        <w:tc>
          <w:tcPr>
            <w:tcW w:w="7795" w:type="dxa"/>
            <w:shd w:val="clear" w:color="auto" w:fill="D9E1F3"/>
          </w:tcPr>
          <w:p>
            <w:pPr>
              <w:pStyle w:val="TableParagraph"/>
              <w:spacing w:line="249" w:lineRule="exact" w:before="1"/>
              <w:ind w:left="107"/>
              <w:rPr>
                <w:b/>
                <w:sz w:val="22"/>
              </w:rPr>
            </w:pPr>
            <w:r>
              <w:rPr>
                <w:b/>
                <w:sz w:val="22"/>
              </w:rPr>
              <w:t>Executive Summary</w:t>
            </w:r>
          </w:p>
        </w:tc>
      </w:tr>
      <w:tr>
        <w:trPr>
          <w:trHeight w:val="12681" w:hRule="atLeast"/>
        </w:trPr>
        <w:tc>
          <w:tcPr>
            <w:tcW w:w="1697" w:type="dxa"/>
          </w:tcPr>
          <w:p>
            <w:pPr>
              <w:pStyle w:val="TableParagraph"/>
              <w:ind w:left="107" w:right="514"/>
              <w:jc w:val="both"/>
              <w:rPr>
                <w:sz w:val="22"/>
              </w:rPr>
            </w:pPr>
            <w:r>
              <w:rPr>
                <w:sz w:val="22"/>
              </w:rPr>
              <w:t>3a. Calls for Service and 3b. Incident Response</w:t>
            </w:r>
          </w:p>
          <w:p>
            <w:pPr>
              <w:pStyle w:val="TableParagraph"/>
              <w:spacing w:before="11"/>
              <w:rPr>
                <w:sz w:val="21"/>
              </w:rPr>
            </w:pPr>
          </w:p>
          <w:p>
            <w:pPr>
              <w:pStyle w:val="TableParagraph"/>
              <w:ind w:left="256"/>
              <w:rPr>
                <w:sz w:val="20"/>
              </w:rPr>
            </w:pPr>
            <w:r>
              <w:rPr>
                <w:sz w:val="20"/>
              </w:rPr>
              <w:drawing>
                <wp:inline distT="0" distB="0" distL="0" distR="0">
                  <wp:extent cx="737615" cy="737616"/>
                  <wp:effectExtent l="0" t="0" r="0" b="0"/>
                  <wp:docPr id="9" name="image19.png"/>
                  <wp:cNvGraphicFramePr>
                    <a:graphicFrameLocks noChangeAspect="1"/>
                  </wp:cNvGraphicFramePr>
                  <a:graphic>
                    <a:graphicData uri="http://schemas.openxmlformats.org/drawingml/2006/picture">
                      <pic:pic>
                        <pic:nvPicPr>
                          <pic:cNvPr id="10" name="image19.png"/>
                          <pic:cNvPicPr/>
                        </pic:nvPicPr>
                        <pic:blipFill>
                          <a:blip r:embed="rId26" cstate="print"/>
                          <a:stretch>
                            <a:fillRect/>
                          </a:stretch>
                        </pic:blipFill>
                        <pic:spPr>
                          <a:xfrm>
                            <a:off x="0" y="0"/>
                            <a:ext cx="737615" cy="737616"/>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6"/>
              </w:numPr>
              <w:tabs>
                <w:tab w:pos="467" w:val="left" w:leader="none"/>
                <w:tab w:pos="468" w:val="left" w:leader="none"/>
              </w:tabs>
              <w:spacing w:line="240" w:lineRule="auto" w:before="0" w:after="0"/>
              <w:ind w:left="467" w:right="210" w:hanging="360"/>
              <w:jc w:val="left"/>
              <w:rPr>
                <w:sz w:val="22"/>
              </w:rPr>
            </w:pPr>
            <w:r>
              <w:rPr>
                <w:sz w:val="22"/>
              </w:rPr>
              <w:t>Force Control Room (FCR) accepts 999, 101 calls, and on-line contacts from the public. The function delivers call handling, records those calls in lines with national incident recording standards, assesses those calls using the THRIVE model, manages the deployment of officers and staff to and resolution of those incident.</w:t>
            </w:r>
          </w:p>
          <w:p>
            <w:pPr>
              <w:pStyle w:val="TableParagraph"/>
              <w:numPr>
                <w:ilvl w:val="0"/>
                <w:numId w:val="6"/>
              </w:numPr>
              <w:tabs>
                <w:tab w:pos="467" w:val="left" w:leader="none"/>
                <w:tab w:pos="468" w:val="left" w:leader="none"/>
              </w:tabs>
              <w:spacing w:line="240" w:lineRule="auto" w:before="0" w:after="0"/>
              <w:ind w:left="467" w:right="140" w:hanging="360"/>
              <w:jc w:val="left"/>
              <w:rPr>
                <w:sz w:val="22"/>
              </w:rPr>
            </w:pPr>
            <w:r>
              <w:rPr>
                <w:sz w:val="22"/>
              </w:rPr>
              <w:t>Front Counters handle calls where, initially, the caller does not know which option to select at the automated switchboard or do not know who they wish to speak to. These calls are directed to the relevant person or department by the front counter</w:t>
            </w:r>
            <w:r>
              <w:rPr>
                <w:spacing w:val="-2"/>
                <w:sz w:val="22"/>
              </w:rPr>
              <w:t> </w:t>
            </w:r>
            <w:r>
              <w:rPr>
                <w:sz w:val="22"/>
              </w:rPr>
              <w:t>staff.</w:t>
            </w:r>
          </w:p>
          <w:p>
            <w:pPr>
              <w:pStyle w:val="TableParagraph"/>
              <w:numPr>
                <w:ilvl w:val="0"/>
                <w:numId w:val="6"/>
              </w:numPr>
              <w:tabs>
                <w:tab w:pos="467" w:val="left" w:leader="none"/>
                <w:tab w:pos="468" w:val="left" w:leader="none"/>
              </w:tabs>
              <w:spacing w:line="240" w:lineRule="auto" w:before="0" w:after="0"/>
              <w:ind w:left="467" w:right="100" w:hanging="361"/>
              <w:jc w:val="left"/>
              <w:rPr>
                <w:sz w:val="22"/>
              </w:rPr>
            </w:pPr>
            <w:r>
              <w:rPr>
                <w:sz w:val="22"/>
              </w:rPr>
              <w:t>Initial Enquiry Team (IET) is as an alternative method of providing a response to and resolving incidents expeditiously where physical deployment of a resource is not the most appropriate or effective approach. This will increasingly move a greater proportion of non-urgent demand away from frontline</w:t>
            </w:r>
            <w:r>
              <w:rPr>
                <w:spacing w:val="-13"/>
                <w:sz w:val="22"/>
              </w:rPr>
              <w:t> </w:t>
            </w:r>
            <w:r>
              <w:rPr>
                <w:sz w:val="22"/>
              </w:rPr>
              <w:t>officers.</w:t>
            </w:r>
          </w:p>
          <w:p>
            <w:pPr>
              <w:pStyle w:val="TableParagraph"/>
              <w:numPr>
                <w:ilvl w:val="0"/>
                <w:numId w:val="6"/>
              </w:numPr>
              <w:tabs>
                <w:tab w:pos="467" w:val="left" w:leader="none"/>
                <w:tab w:pos="468" w:val="left" w:leader="none"/>
              </w:tabs>
              <w:spacing w:line="240" w:lineRule="auto" w:before="0" w:after="0"/>
              <w:ind w:left="467" w:right="110" w:hanging="360"/>
              <w:jc w:val="left"/>
              <w:rPr>
                <w:sz w:val="22"/>
              </w:rPr>
            </w:pPr>
            <w:r>
              <w:rPr>
                <w:sz w:val="22"/>
              </w:rPr>
              <w:t>Crime Recording and Occurrence Management (CROMU) function and the Crime Management Unit (CMU) which provides effective recording of all crime occurrences onto the Niche crime management system the updating, processing, management and finalising of all crime and non-crime occurrences, and reports submitted by officers such as PPN reports, RTC reports and Missing Person reports. CROMU are responsible for the recording of crime, processing of submissions and the management of non-crime occurrences. CMU are responsible for the management of crime</w:t>
            </w:r>
            <w:r>
              <w:rPr>
                <w:spacing w:val="-11"/>
                <w:sz w:val="22"/>
              </w:rPr>
              <w:t> </w:t>
            </w:r>
            <w:r>
              <w:rPr>
                <w:sz w:val="22"/>
              </w:rPr>
              <w:t>occurrences.</w:t>
            </w:r>
          </w:p>
          <w:p>
            <w:pPr>
              <w:pStyle w:val="TableParagraph"/>
              <w:numPr>
                <w:ilvl w:val="0"/>
                <w:numId w:val="6"/>
              </w:numPr>
              <w:tabs>
                <w:tab w:pos="467" w:val="left" w:leader="none"/>
                <w:tab w:pos="468" w:val="left" w:leader="none"/>
              </w:tabs>
              <w:spacing w:line="240" w:lineRule="auto" w:before="0" w:after="0"/>
              <w:ind w:left="467" w:right="237" w:hanging="361"/>
              <w:jc w:val="left"/>
              <w:rPr>
                <w:sz w:val="22"/>
              </w:rPr>
            </w:pPr>
            <w:r>
              <w:rPr>
                <w:sz w:val="22"/>
              </w:rPr>
              <w:t>999 calls are anticipated to increase over the next four years by an average of 5100 per calls year. In general, the FCR is expecting to handle approximately 14 additional 999 calls per</w:t>
            </w:r>
            <w:r>
              <w:rPr>
                <w:spacing w:val="-2"/>
                <w:sz w:val="22"/>
              </w:rPr>
              <w:t> </w:t>
            </w:r>
            <w:r>
              <w:rPr>
                <w:sz w:val="22"/>
              </w:rPr>
              <w:t>day.</w:t>
            </w:r>
          </w:p>
          <w:p>
            <w:pPr>
              <w:pStyle w:val="TableParagraph"/>
              <w:numPr>
                <w:ilvl w:val="0"/>
                <w:numId w:val="6"/>
              </w:numPr>
              <w:tabs>
                <w:tab w:pos="468" w:val="left" w:leader="none"/>
              </w:tabs>
              <w:spacing w:line="240" w:lineRule="auto" w:before="0" w:after="0"/>
              <w:ind w:left="467" w:right="650" w:hanging="361"/>
              <w:jc w:val="both"/>
              <w:rPr>
                <w:sz w:val="22"/>
              </w:rPr>
            </w:pPr>
            <w:r>
              <w:rPr>
                <w:sz w:val="22"/>
              </w:rPr>
              <w:t>In relation to 101 calls, there is a downward trend in terms of the forecast volume of calls however the pace at which the volumes are decreasing has stabilised.</w:t>
            </w:r>
          </w:p>
          <w:p>
            <w:pPr>
              <w:pStyle w:val="TableParagraph"/>
              <w:numPr>
                <w:ilvl w:val="0"/>
                <w:numId w:val="6"/>
              </w:numPr>
              <w:tabs>
                <w:tab w:pos="467" w:val="left" w:leader="none"/>
                <w:tab w:pos="468" w:val="left" w:leader="none"/>
              </w:tabs>
              <w:spacing w:line="240" w:lineRule="auto" w:before="0" w:after="0"/>
              <w:ind w:left="467" w:right="472" w:hanging="361"/>
              <w:jc w:val="left"/>
              <w:rPr>
                <w:sz w:val="22"/>
              </w:rPr>
            </w:pPr>
            <w:r>
              <w:rPr>
                <w:sz w:val="22"/>
              </w:rPr>
              <w:t>in addition to the volume of calls, the complexity of calls is critical as this can increase the total effort by significantly increasing the time taken by the Communications Officer to acquire all the relevant and necessary THRIVE information.</w:t>
            </w:r>
          </w:p>
          <w:p>
            <w:pPr>
              <w:pStyle w:val="TableParagraph"/>
              <w:numPr>
                <w:ilvl w:val="0"/>
                <w:numId w:val="6"/>
              </w:numPr>
              <w:tabs>
                <w:tab w:pos="467" w:val="left" w:leader="none"/>
                <w:tab w:pos="468" w:val="left" w:leader="none"/>
              </w:tabs>
              <w:spacing w:line="240" w:lineRule="auto" w:before="0" w:after="0"/>
              <w:ind w:left="467" w:right="325" w:hanging="361"/>
              <w:jc w:val="left"/>
              <w:rPr>
                <w:sz w:val="22"/>
              </w:rPr>
            </w:pPr>
            <w:r>
              <w:rPr>
                <w:sz w:val="22"/>
              </w:rPr>
              <w:t>Overall, both I grade, and P grade attendance is predicted to decrease by on average 4 incidents per day collectively over the next few years due to greater resolution by other</w:t>
            </w:r>
            <w:r>
              <w:rPr>
                <w:spacing w:val="-5"/>
                <w:sz w:val="22"/>
              </w:rPr>
              <w:t> </w:t>
            </w:r>
            <w:r>
              <w:rPr>
                <w:sz w:val="22"/>
              </w:rPr>
              <w:t>means.</w:t>
            </w:r>
          </w:p>
          <w:p>
            <w:pPr>
              <w:pStyle w:val="TableParagraph"/>
              <w:numPr>
                <w:ilvl w:val="0"/>
                <w:numId w:val="6"/>
              </w:numPr>
              <w:tabs>
                <w:tab w:pos="467" w:val="left" w:leader="none"/>
                <w:tab w:pos="468" w:val="left" w:leader="none"/>
              </w:tabs>
              <w:spacing w:line="240" w:lineRule="auto" w:before="0" w:after="0"/>
              <w:ind w:left="467" w:right="273" w:hanging="361"/>
              <w:jc w:val="left"/>
              <w:rPr>
                <w:sz w:val="22"/>
              </w:rPr>
            </w:pPr>
            <w:r>
              <w:rPr>
                <w:sz w:val="22"/>
              </w:rPr>
              <w:t>In May 2023, although the Force has improved its call handling performance it remains below the national standards expected in relation to 999 (90% answered in under 10 seconds). The force does not yet have sufficient capacity or capability to consistently meet the current</w:t>
            </w:r>
            <w:r>
              <w:rPr>
                <w:spacing w:val="-5"/>
                <w:sz w:val="22"/>
              </w:rPr>
              <w:t> </w:t>
            </w:r>
            <w:r>
              <w:rPr>
                <w:sz w:val="22"/>
              </w:rPr>
              <w:t>standards.</w:t>
            </w:r>
          </w:p>
          <w:p>
            <w:pPr>
              <w:pStyle w:val="TableParagraph"/>
              <w:numPr>
                <w:ilvl w:val="0"/>
                <w:numId w:val="6"/>
              </w:numPr>
              <w:tabs>
                <w:tab w:pos="467" w:val="left" w:leader="none"/>
                <w:tab w:pos="468" w:val="left" w:leader="none"/>
              </w:tabs>
              <w:spacing w:line="240" w:lineRule="auto" w:before="0" w:after="0"/>
              <w:ind w:left="467" w:right="238" w:hanging="361"/>
              <w:jc w:val="left"/>
              <w:rPr>
                <w:sz w:val="22"/>
              </w:rPr>
            </w:pPr>
            <w:r>
              <w:rPr>
                <w:sz w:val="22"/>
              </w:rPr>
              <w:t>Recruitment and retention of staff within the FCR is historically challenging due to strong local labour market forces in York and the comparably lower salaries when compared with similar roles locally and in neighbouring</w:t>
            </w:r>
            <w:r>
              <w:rPr>
                <w:spacing w:val="-14"/>
                <w:sz w:val="22"/>
              </w:rPr>
              <w:t> </w:t>
            </w:r>
            <w:r>
              <w:rPr>
                <w:sz w:val="22"/>
              </w:rPr>
              <w:t>Forces.</w:t>
            </w:r>
          </w:p>
          <w:p>
            <w:pPr>
              <w:pStyle w:val="TableParagraph"/>
              <w:numPr>
                <w:ilvl w:val="0"/>
                <w:numId w:val="6"/>
              </w:numPr>
              <w:tabs>
                <w:tab w:pos="467" w:val="left" w:leader="none"/>
                <w:tab w:pos="468" w:val="left" w:leader="none"/>
              </w:tabs>
              <w:spacing w:line="240" w:lineRule="auto" w:before="0" w:after="0"/>
              <w:ind w:left="467" w:right="247" w:hanging="361"/>
              <w:jc w:val="left"/>
              <w:rPr>
                <w:sz w:val="22"/>
              </w:rPr>
            </w:pPr>
            <w:r>
              <w:rPr>
                <w:sz w:val="22"/>
              </w:rPr>
              <w:t>North Yorkshire have experienced demand and resilience issues resulting in delays in the administrative finalising of crimes within CROMU, resulting in a backlog of 17300 crimes (January 2023). Through an uplift in skilled resources and a greater performance focus this has been reduced to circa 2,800 crimes in May</w:t>
            </w:r>
            <w:r>
              <w:rPr>
                <w:spacing w:val="-2"/>
                <w:sz w:val="22"/>
              </w:rPr>
              <w:t> </w:t>
            </w:r>
            <w:r>
              <w:rPr>
                <w:sz w:val="22"/>
              </w:rPr>
              <w:t>2023.</w:t>
            </w:r>
          </w:p>
        </w:tc>
      </w:tr>
    </w:tbl>
    <w:p>
      <w:pPr>
        <w:spacing w:after="0" w:line="240" w:lineRule="auto"/>
        <w:jc w:val="left"/>
        <w:rPr>
          <w:sz w:val="22"/>
        </w:rPr>
        <w:sectPr>
          <w:pgSz w:w="11910" w:h="16840"/>
          <w:pgMar w:header="0" w:footer="443" w:top="820" w:bottom="72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2" w:hRule="atLeast"/>
        </w:trPr>
        <w:tc>
          <w:tcPr>
            <w:tcW w:w="9492" w:type="dxa"/>
            <w:gridSpan w:val="2"/>
            <w:shd w:val="clear" w:color="auto" w:fill="7D70B0"/>
          </w:tcPr>
          <w:p>
            <w:pPr>
              <w:pStyle w:val="TableParagraph"/>
              <w:spacing w:line="323" w:lineRule="exact"/>
              <w:ind w:left="107"/>
              <w:rPr>
                <w:b/>
                <w:sz w:val="28"/>
              </w:rPr>
            </w:pPr>
            <w:r>
              <w:rPr>
                <w:b/>
                <w:color w:val="FFFFFF"/>
                <w:sz w:val="28"/>
              </w:rPr>
              <w:t>Chapter 4: Prevention and Deterrence</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13581" w:hRule="atLeast"/>
        </w:trPr>
        <w:tc>
          <w:tcPr>
            <w:tcW w:w="1697" w:type="dxa"/>
          </w:tcPr>
          <w:p>
            <w:pPr>
              <w:pStyle w:val="TableParagraph"/>
              <w:ind w:left="107" w:right="164"/>
              <w:rPr>
                <w:sz w:val="22"/>
              </w:rPr>
            </w:pPr>
            <w:r>
              <w:rPr>
                <w:sz w:val="22"/>
              </w:rPr>
              <w:t>4. Prevention and Deterrence</w:t>
            </w:r>
          </w:p>
          <w:p>
            <w:pPr>
              <w:pStyle w:val="TableParagraph"/>
              <w:spacing w:before="7"/>
              <w:rPr>
                <w:sz w:val="21"/>
              </w:rPr>
            </w:pPr>
          </w:p>
          <w:p>
            <w:pPr>
              <w:pStyle w:val="TableParagraph"/>
              <w:ind w:left="256"/>
              <w:rPr>
                <w:sz w:val="20"/>
              </w:rPr>
            </w:pPr>
            <w:r>
              <w:rPr>
                <w:sz w:val="20"/>
              </w:rPr>
              <w:drawing>
                <wp:inline distT="0" distB="0" distL="0" distR="0">
                  <wp:extent cx="699897" cy="699897"/>
                  <wp:effectExtent l="0" t="0" r="0" b="0"/>
                  <wp:docPr id="11" name="image20.png"/>
                  <wp:cNvGraphicFramePr>
                    <a:graphicFrameLocks noChangeAspect="1"/>
                  </wp:cNvGraphicFramePr>
                  <a:graphic>
                    <a:graphicData uri="http://schemas.openxmlformats.org/drawingml/2006/picture">
                      <pic:pic>
                        <pic:nvPicPr>
                          <pic:cNvPr id="12" name="image20.png"/>
                          <pic:cNvPicPr/>
                        </pic:nvPicPr>
                        <pic:blipFill>
                          <a:blip r:embed="rId27" cstate="print"/>
                          <a:stretch>
                            <a:fillRect/>
                          </a:stretch>
                        </pic:blipFill>
                        <pic:spPr>
                          <a:xfrm>
                            <a:off x="0" y="0"/>
                            <a:ext cx="699897" cy="699897"/>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16"/>
              </w:rPr>
            </w:pPr>
          </w:p>
        </w:tc>
        <w:tc>
          <w:tcPr>
            <w:tcW w:w="7795" w:type="dxa"/>
          </w:tcPr>
          <w:p>
            <w:pPr>
              <w:pStyle w:val="TableParagraph"/>
              <w:numPr>
                <w:ilvl w:val="0"/>
                <w:numId w:val="7"/>
              </w:numPr>
              <w:tabs>
                <w:tab w:pos="467" w:val="left" w:leader="none"/>
                <w:tab w:pos="468" w:val="left" w:leader="none"/>
              </w:tabs>
              <w:spacing w:line="240" w:lineRule="auto" w:before="0" w:after="0"/>
              <w:ind w:left="467" w:right="211" w:hanging="360"/>
              <w:jc w:val="left"/>
              <w:rPr>
                <w:sz w:val="22"/>
              </w:rPr>
            </w:pPr>
            <w:r>
              <w:rPr>
                <w:sz w:val="22"/>
              </w:rPr>
              <w:t>A range of prevention and early intervention projects have been implemented over 2022/23 as the bedrock for how we move forward and meet societal demand that reflects societal changes both at a local level and those influenced by national</w:t>
            </w:r>
            <w:r>
              <w:rPr>
                <w:spacing w:val="-3"/>
                <w:sz w:val="22"/>
              </w:rPr>
              <w:t> </w:t>
            </w:r>
            <w:r>
              <w:rPr>
                <w:sz w:val="22"/>
              </w:rPr>
              <w:t>issues.</w:t>
            </w:r>
          </w:p>
          <w:p>
            <w:pPr>
              <w:pStyle w:val="TableParagraph"/>
              <w:numPr>
                <w:ilvl w:val="0"/>
                <w:numId w:val="7"/>
              </w:numPr>
              <w:tabs>
                <w:tab w:pos="467" w:val="left" w:leader="none"/>
                <w:tab w:pos="468" w:val="left" w:leader="none"/>
              </w:tabs>
              <w:spacing w:line="240" w:lineRule="auto" w:before="0" w:after="0"/>
              <w:ind w:left="467" w:right="126" w:hanging="361"/>
              <w:jc w:val="left"/>
              <w:rPr>
                <w:sz w:val="22"/>
              </w:rPr>
            </w:pPr>
            <w:r>
              <w:rPr>
                <w:sz w:val="22"/>
              </w:rPr>
              <w:t>Partnerships are responsible for ensuring strategic multiagency relationships are efficient and effective, and will look at societal demand and the targeted activities that are impacting on local communities focusing on qualitative benefits.</w:t>
            </w:r>
          </w:p>
          <w:p>
            <w:pPr>
              <w:pStyle w:val="TableParagraph"/>
              <w:numPr>
                <w:ilvl w:val="0"/>
                <w:numId w:val="7"/>
              </w:numPr>
              <w:tabs>
                <w:tab w:pos="467" w:val="left" w:leader="none"/>
                <w:tab w:pos="468" w:val="left" w:leader="none"/>
              </w:tabs>
              <w:spacing w:line="240" w:lineRule="auto" w:before="0" w:after="0"/>
              <w:ind w:left="467" w:right="238" w:hanging="361"/>
              <w:jc w:val="left"/>
              <w:rPr>
                <w:sz w:val="22"/>
              </w:rPr>
            </w:pPr>
            <w:r>
              <w:rPr>
                <w:sz w:val="22"/>
              </w:rPr>
              <w:t>Neighbourhood Policing’s primary role is to engage with local communities and solve local problems in order to build trust and community cohesion. Neighbourhoods also, at times of peak demand, support the broader policing family in responding to incidents. This is monitored to ensure that the abstraction away from their core duties is</w:t>
            </w:r>
            <w:r>
              <w:rPr>
                <w:spacing w:val="-5"/>
                <w:sz w:val="22"/>
              </w:rPr>
              <w:t> </w:t>
            </w:r>
            <w:r>
              <w:rPr>
                <w:sz w:val="22"/>
              </w:rPr>
              <w:t>minimised.</w:t>
            </w:r>
          </w:p>
          <w:p>
            <w:pPr>
              <w:pStyle w:val="TableParagraph"/>
              <w:numPr>
                <w:ilvl w:val="0"/>
                <w:numId w:val="7"/>
              </w:numPr>
              <w:tabs>
                <w:tab w:pos="467" w:val="left" w:leader="none"/>
                <w:tab w:pos="468" w:val="left" w:leader="none"/>
              </w:tabs>
              <w:spacing w:line="240" w:lineRule="auto" w:before="0" w:after="0"/>
              <w:ind w:left="467" w:right="187" w:hanging="361"/>
              <w:jc w:val="left"/>
              <w:rPr>
                <w:sz w:val="22"/>
              </w:rPr>
            </w:pPr>
            <w:r>
              <w:rPr>
                <w:sz w:val="22"/>
              </w:rPr>
              <w:t>In November 2021 the Rural Task Force (RTF) introduced a new approach which focusses on an increase in intelligence led operations in partnership with bordering Forces, Specialist Operations and local policing</w:t>
            </w:r>
            <w:r>
              <w:rPr>
                <w:spacing w:val="-12"/>
                <w:sz w:val="22"/>
              </w:rPr>
              <w:t> </w:t>
            </w:r>
            <w:r>
              <w:rPr>
                <w:sz w:val="22"/>
              </w:rPr>
              <w:t>departments.</w:t>
            </w:r>
          </w:p>
          <w:p>
            <w:pPr>
              <w:pStyle w:val="TableParagraph"/>
              <w:numPr>
                <w:ilvl w:val="0"/>
                <w:numId w:val="7"/>
              </w:numPr>
              <w:tabs>
                <w:tab w:pos="467" w:val="left" w:leader="none"/>
                <w:tab w:pos="468" w:val="left" w:leader="none"/>
              </w:tabs>
              <w:spacing w:line="240" w:lineRule="auto" w:before="0" w:after="0"/>
              <w:ind w:left="467" w:right="239" w:hanging="361"/>
              <w:jc w:val="left"/>
              <w:rPr>
                <w:sz w:val="22"/>
              </w:rPr>
            </w:pPr>
            <w:r>
              <w:rPr>
                <w:sz w:val="22"/>
              </w:rPr>
              <w:t>Night-time economy has been defined by North Yorkshire as incidents which required officer deployment between midnight and 8am that were linked to urban centres over the weekend. The largest urban centre in North Yorkshire is York with the city centre being focussed within Guildhall inner. In 2022/23, this ward accounted for an average of 25% of all incidents of violence, drugs, robbery and sexual offences when compared with York as a</w:t>
            </w:r>
            <w:r>
              <w:rPr>
                <w:spacing w:val="-15"/>
                <w:sz w:val="22"/>
              </w:rPr>
              <w:t> </w:t>
            </w:r>
            <w:r>
              <w:rPr>
                <w:sz w:val="22"/>
              </w:rPr>
              <w:t>whole.</w:t>
            </w:r>
          </w:p>
          <w:p>
            <w:pPr>
              <w:pStyle w:val="TableParagraph"/>
              <w:numPr>
                <w:ilvl w:val="0"/>
                <w:numId w:val="7"/>
              </w:numPr>
              <w:tabs>
                <w:tab w:pos="467" w:val="left" w:leader="none"/>
                <w:tab w:pos="468" w:val="left" w:leader="none"/>
              </w:tabs>
              <w:spacing w:line="240" w:lineRule="auto" w:before="0" w:after="0"/>
              <w:ind w:left="467" w:right="469" w:hanging="361"/>
              <w:jc w:val="left"/>
              <w:rPr>
                <w:sz w:val="22"/>
              </w:rPr>
            </w:pPr>
            <w:r>
              <w:rPr>
                <w:sz w:val="22"/>
              </w:rPr>
              <w:t>Governance and oversight of neighbourhood Policing is through the Neighbourhood Policing Delivery chaired by the Partnerships Hub Superintendent and is structured around the seven Pillars of Neighbourhood Policing.</w:t>
            </w:r>
          </w:p>
          <w:p>
            <w:pPr>
              <w:pStyle w:val="TableParagraph"/>
              <w:numPr>
                <w:ilvl w:val="0"/>
                <w:numId w:val="7"/>
              </w:numPr>
              <w:tabs>
                <w:tab w:pos="467" w:val="left" w:leader="none"/>
                <w:tab w:pos="468" w:val="left" w:leader="none"/>
              </w:tabs>
              <w:spacing w:line="240" w:lineRule="auto" w:before="0" w:after="0"/>
              <w:ind w:left="467" w:right="462" w:hanging="361"/>
              <w:jc w:val="left"/>
              <w:rPr>
                <w:sz w:val="22"/>
              </w:rPr>
            </w:pPr>
            <w:r>
              <w:rPr>
                <w:sz w:val="22"/>
              </w:rPr>
              <w:t>In April 2023, the Partnership Hub reviewed and published an updated abstraction policy which has been underpinned by a Neighbourhood Policing Abstraction</w:t>
            </w:r>
            <w:r>
              <w:rPr>
                <w:spacing w:val="-2"/>
                <w:sz w:val="22"/>
              </w:rPr>
              <w:t> </w:t>
            </w:r>
            <w:r>
              <w:rPr>
                <w:sz w:val="22"/>
              </w:rPr>
              <w:t>Log.</w:t>
            </w:r>
          </w:p>
          <w:p>
            <w:pPr>
              <w:pStyle w:val="TableParagraph"/>
              <w:numPr>
                <w:ilvl w:val="0"/>
                <w:numId w:val="7"/>
              </w:numPr>
              <w:tabs>
                <w:tab w:pos="467" w:val="left" w:leader="none"/>
                <w:tab w:pos="468" w:val="left" w:leader="none"/>
              </w:tabs>
              <w:spacing w:line="240" w:lineRule="auto" w:before="0" w:after="0"/>
              <w:ind w:left="467" w:right="178" w:hanging="361"/>
              <w:jc w:val="left"/>
              <w:rPr>
                <w:sz w:val="22"/>
              </w:rPr>
            </w:pPr>
            <w:r>
              <w:rPr>
                <w:sz w:val="22"/>
              </w:rPr>
              <w:t>Problem Solving Training has been developed under the Place Based Working project which has seen an uplift of one Police Sergeant and four Police Constables into a training team whose role is to deliver problem solving training across the organisation to all officers and</w:t>
            </w:r>
            <w:r>
              <w:rPr>
                <w:spacing w:val="-9"/>
                <w:sz w:val="22"/>
              </w:rPr>
              <w:t> </w:t>
            </w:r>
            <w:r>
              <w:rPr>
                <w:sz w:val="22"/>
              </w:rPr>
              <w:t>staff.</w:t>
            </w:r>
          </w:p>
          <w:p>
            <w:pPr>
              <w:pStyle w:val="TableParagraph"/>
              <w:numPr>
                <w:ilvl w:val="0"/>
                <w:numId w:val="7"/>
              </w:numPr>
              <w:tabs>
                <w:tab w:pos="468" w:val="left" w:leader="none"/>
                <w:tab w:pos="469" w:val="left" w:leader="none"/>
              </w:tabs>
              <w:spacing w:line="240" w:lineRule="auto" w:before="0" w:after="0"/>
              <w:ind w:left="468" w:right="165" w:hanging="361"/>
              <w:jc w:val="left"/>
              <w:rPr>
                <w:sz w:val="22"/>
              </w:rPr>
            </w:pPr>
            <w:r>
              <w:rPr>
                <w:sz w:val="22"/>
              </w:rPr>
              <w:t>Primary crime and ASB prevention initiatives are undertaken by public facing colleagues within Neighbourhood Teams, alongside the Community Safety Hubs with engagement activity to provide crime prevention advice, surgeries, target hardening and other preventative</w:t>
            </w:r>
            <w:r>
              <w:rPr>
                <w:spacing w:val="-5"/>
                <w:sz w:val="22"/>
              </w:rPr>
              <w:t> </w:t>
            </w:r>
            <w:r>
              <w:rPr>
                <w:sz w:val="22"/>
              </w:rPr>
              <w:t>work.</w:t>
            </w:r>
          </w:p>
          <w:p>
            <w:pPr>
              <w:pStyle w:val="TableParagraph"/>
              <w:numPr>
                <w:ilvl w:val="0"/>
                <w:numId w:val="7"/>
              </w:numPr>
              <w:tabs>
                <w:tab w:pos="468" w:val="left" w:leader="none"/>
                <w:tab w:pos="469" w:val="left" w:leader="none"/>
              </w:tabs>
              <w:spacing w:line="240" w:lineRule="auto" w:before="0" w:after="0"/>
              <w:ind w:left="468" w:right="301" w:hanging="361"/>
              <w:jc w:val="left"/>
              <w:rPr>
                <w:sz w:val="22"/>
              </w:rPr>
            </w:pPr>
            <w:r>
              <w:rPr>
                <w:sz w:val="22"/>
              </w:rPr>
              <w:t>The Partnership Hub has developed intervention projects such Op Choice, Op Divan and the Stepping Up Project which are intervention projects designed to reduce entry into the criminal justice system and provide effective early interventions.</w:t>
            </w:r>
          </w:p>
          <w:p>
            <w:pPr>
              <w:pStyle w:val="TableParagraph"/>
              <w:numPr>
                <w:ilvl w:val="0"/>
                <w:numId w:val="7"/>
              </w:numPr>
              <w:tabs>
                <w:tab w:pos="468" w:val="left" w:leader="none"/>
                <w:tab w:pos="469" w:val="left" w:leader="none"/>
              </w:tabs>
              <w:spacing w:line="240" w:lineRule="auto" w:before="0" w:after="0"/>
              <w:ind w:left="468" w:right="197" w:hanging="361"/>
              <w:jc w:val="left"/>
              <w:rPr>
                <w:sz w:val="22"/>
              </w:rPr>
            </w:pPr>
            <w:r>
              <w:rPr>
                <w:sz w:val="22"/>
              </w:rPr>
              <w:t>Pathways is a Service Directory tool which acts as a one stop shop for information on commissioned services, partner agencies and charities. Officers and staff can swiftly signpost or refer members of the public to the right service at the right</w:t>
            </w:r>
            <w:r>
              <w:rPr>
                <w:spacing w:val="-1"/>
                <w:sz w:val="22"/>
              </w:rPr>
              <w:t> </w:t>
            </w:r>
            <w:r>
              <w:rPr>
                <w:sz w:val="22"/>
              </w:rPr>
              <w:t>time.</w:t>
            </w:r>
          </w:p>
          <w:p>
            <w:pPr>
              <w:pStyle w:val="TableParagraph"/>
              <w:numPr>
                <w:ilvl w:val="0"/>
                <w:numId w:val="7"/>
              </w:numPr>
              <w:tabs>
                <w:tab w:pos="468" w:val="left" w:leader="none"/>
                <w:tab w:pos="469" w:val="left" w:leader="none"/>
              </w:tabs>
              <w:spacing w:line="240" w:lineRule="auto" w:before="0" w:after="0"/>
              <w:ind w:left="468" w:right="394" w:hanging="360"/>
              <w:jc w:val="left"/>
              <w:rPr>
                <w:sz w:val="22"/>
              </w:rPr>
            </w:pPr>
            <w:r>
              <w:rPr>
                <w:sz w:val="22"/>
              </w:rPr>
              <w:t>North Yorkshire Community Messenger has been re-invigorated and was re- launched at the NPT Conference in March 2023 which included the use of the survey</w:t>
            </w:r>
            <w:r>
              <w:rPr>
                <w:spacing w:val="1"/>
                <w:sz w:val="22"/>
              </w:rPr>
              <w:t> </w:t>
            </w:r>
            <w:r>
              <w:rPr>
                <w:sz w:val="22"/>
              </w:rPr>
              <w:t>tool.</w:t>
            </w:r>
          </w:p>
          <w:p>
            <w:pPr>
              <w:pStyle w:val="TableParagraph"/>
              <w:numPr>
                <w:ilvl w:val="0"/>
                <w:numId w:val="7"/>
              </w:numPr>
              <w:tabs>
                <w:tab w:pos="467" w:val="left" w:leader="none"/>
                <w:tab w:pos="468" w:val="left" w:leader="none"/>
              </w:tabs>
              <w:spacing w:line="270" w:lineRule="atLeast" w:before="0" w:after="0"/>
              <w:ind w:left="467" w:right="165" w:hanging="360"/>
              <w:jc w:val="left"/>
              <w:rPr>
                <w:sz w:val="22"/>
              </w:rPr>
            </w:pPr>
            <w:r>
              <w:rPr>
                <w:sz w:val="22"/>
              </w:rPr>
              <w:t>In 2023/24, the force has commenced an Organisational Redesign Project which will take a holistic approach to reshaping the organisation from April 2024.</w:t>
            </w:r>
            <w:r>
              <w:rPr>
                <w:spacing w:val="-30"/>
                <w:sz w:val="22"/>
              </w:rPr>
              <w:t> </w:t>
            </w:r>
            <w:r>
              <w:rPr>
                <w:sz w:val="22"/>
              </w:rPr>
              <w:t>The</w:t>
            </w:r>
          </w:p>
        </w:tc>
      </w:tr>
    </w:tbl>
    <w:p>
      <w:pPr>
        <w:spacing w:after="0" w:line="270" w:lineRule="atLeast"/>
        <w:jc w:val="left"/>
        <w:rPr>
          <w:sz w:val="22"/>
        </w:rPr>
        <w:sectPr>
          <w:pgSz w:w="11910" w:h="16840"/>
          <w:pgMar w:header="0" w:footer="443" w:top="110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702" w:hRule="atLeast"/>
        </w:trPr>
        <w:tc>
          <w:tcPr>
            <w:tcW w:w="1697" w:type="dxa"/>
          </w:tcPr>
          <w:p>
            <w:pPr>
              <w:pStyle w:val="TableParagraph"/>
              <w:rPr>
                <w:rFonts w:ascii="Times New Roman"/>
                <w:sz w:val="22"/>
              </w:rPr>
            </w:pPr>
          </w:p>
        </w:tc>
        <w:tc>
          <w:tcPr>
            <w:tcW w:w="7795" w:type="dxa"/>
          </w:tcPr>
          <w:p>
            <w:pPr>
              <w:pStyle w:val="TableParagraph"/>
              <w:ind w:left="467" w:right="154"/>
              <w:rPr>
                <w:sz w:val="22"/>
              </w:rPr>
            </w:pPr>
            <w:r>
              <w:rPr>
                <w:sz w:val="22"/>
              </w:rPr>
              <w:t>prevention and early intervention programme will over time deliver additional capacity on commands to drive enhance PEI activity across all parts of their business and drive in partnership better outcomes for communities. More initiatives will be undertaken at local level, but the introduction of a mature place based working approach will be key to addressing long term demands and the resourcing required to deliver this will need to be reviewed as part of the Organisational Redesign Project.</w:t>
            </w:r>
          </w:p>
          <w:p>
            <w:pPr>
              <w:pStyle w:val="TableParagraph"/>
              <w:numPr>
                <w:ilvl w:val="0"/>
                <w:numId w:val="8"/>
              </w:numPr>
              <w:tabs>
                <w:tab w:pos="467" w:val="left" w:leader="none"/>
                <w:tab w:pos="468" w:val="left" w:leader="none"/>
              </w:tabs>
              <w:spacing w:line="240" w:lineRule="auto" w:before="0" w:after="0"/>
              <w:ind w:left="467" w:right="103" w:hanging="361"/>
              <w:jc w:val="left"/>
              <w:rPr>
                <w:sz w:val="22"/>
              </w:rPr>
            </w:pPr>
            <w:r>
              <w:rPr>
                <w:sz w:val="22"/>
              </w:rPr>
              <w:t>North Yorkshire Police has embraced the prevention and early intervention methodology as the main vehicle through reducing future crime to sustain the viability of the force to meet demand. If this approach isn’t embedded and driving benefits in the future the likely consequential growth of reactive demand and crime will outstrip any resourcing model the force can afford to put into place to meet demand.</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0" w:hRule="atLeast"/>
        </w:trPr>
        <w:tc>
          <w:tcPr>
            <w:tcW w:w="9492" w:type="dxa"/>
            <w:gridSpan w:val="2"/>
            <w:shd w:val="clear" w:color="auto" w:fill="E85B20"/>
          </w:tcPr>
          <w:p>
            <w:pPr>
              <w:pStyle w:val="TableParagraph"/>
              <w:spacing w:line="320" w:lineRule="exact"/>
              <w:ind w:left="107"/>
              <w:rPr>
                <w:b/>
                <w:sz w:val="28"/>
              </w:rPr>
            </w:pPr>
            <w:r>
              <w:rPr>
                <w:b/>
                <w:color w:val="FFFFFF"/>
                <w:sz w:val="28"/>
              </w:rPr>
              <w:t>Chapter 5: Investigations</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5922" w:hRule="atLeast"/>
        </w:trPr>
        <w:tc>
          <w:tcPr>
            <w:tcW w:w="1697" w:type="dxa"/>
          </w:tcPr>
          <w:p>
            <w:pPr>
              <w:pStyle w:val="TableParagraph"/>
              <w:ind w:left="107" w:right="159"/>
              <w:rPr>
                <w:sz w:val="22"/>
              </w:rPr>
            </w:pPr>
            <w:r>
              <w:rPr>
                <w:sz w:val="22"/>
              </w:rPr>
              <w:t>5a. Volume and Serious Crime</w:t>
            </w:r>
          </w:p>
          <w:p>
            <w:pPr>
              <w:pStyle w:val="TableParagraph"/>
              <w:spacing w:after="1"/>
              <w:rPr>
                <w:sz w:val="22"/>
              </w:rPr>
            </w:pPr>
          </w:p>
          <w:p>
            <w:pPr>
              <w:pStyle w:val="TableParagraph"/>
              <w:ind w:left="256"/>
              <w:rPr>
                <w:sz w:val="20"/>
              </w:rPr>
            </w:pPr>
            <w:r>
              <w:rPr>
                <w:sz w:val="20"/>
              </w:rPr>
              <w:drawing>
                <wp:inline distT="0" distB="0" distL="0" distR="0">
                  <wp:extent cx="720851" cy="720851"/>
                  <wp:effectExtent l="0" t="0" r="0" b="0"/>
                  <wp:docPr id="13" name="image21.png"/>
                  <wp:cNvGraphicFramePr>
                    <a:graphicFrameLocks noChangeAspect="1"/>
                  </wp:cNvGraphicFramePr>
                  <a:graphic>
                    <a:graphicData uri="http://schemas.openxmlformats.org/drawingml/2006/picture">
                      <pic:pic>
                        <pic:nvPicPr>
                          <pic:cNvPr id="14" name="image21.png"/>
                          <pic:cNvPicPr/>
                        </pic:nvPicPr>
                        <pic:blipFill>
                          <a:blip r:embed="rId28" cstate="print"/>
                          <a:stretch>
                            <a:fillRect/>
                          </a:stretch>
                        </pic:blipFill>
                        <pic:spPr>
                          <a:xfrm>
                            <a:off x="0" y="0"/>
                            <a:ext cx="720851" cy="72085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6"/>
              </w:rPr>
            </w:pPr>
          </w:p>
        </w:tc>
        <w:tc>
          <w:tcPr>
            <w:tcW w:w="7795" w:type="dxa"/>
          </w:tcPr>
          <w:p>
            <w:pPr>
              <w:pStyle w:val="TableParagraph"/>
              <w:numPr>
                <w:ilvl w:val="0"/>
                <w:numId w:val="9"/>
              </w:numPr>
              <w:tabs>
                <w:tab w:pos="467" w:val="left" w:leader="none"/>
                <w:tab w:pos="468" w:val="left" w:leader="none"/>
              </w:tabs>
              <w:spacing w:line="240" w:lineRule="auto" w:before="0" w:after="0"/>
              <w:ind w:left="467" w:right="325" w:hanging="360"/>
              <w:jc w:val="left"/>
              <w:rPr>
                <w:sz w:val="22"/>
              </w:rPr>
            </w:pPr>
            <w:r>
              <w:rPr>
                <w:sz w:val="22"/>
              </w:rPr>
              <w:t>The risk assessment reflects the area of highest harm and overall risk from the most recent MoRiLE assessment which was violence with</w:t>
            </w:r>
            <w:r>
              <w:rPr>
                <w:spacing w:val="-14"/>
                <w:sz w:val="22"/>
              </w:rPr>
              <w:t> </w:t>
            </w:r>
            <w:r>
              <w:rPr>
                <w:sz w:val="22"/>
              </w:rPr>
              <w:t>injury.</w:t>
            </w:r>
          </w:p>
          <w:p>
            <w:pPr>
              <w:pStyle w:val="TableParagraph"/>
              <w:numPr>
                <w:ilvl w:val="0"/>
                <w:numId w:val="9"/>
              </w:numPr>
              <w:tabs>
                <w:tab w:pos="467" w:val="left" w:leader="none"/>
                <w:tab w:pos="468" w:val="left" w:leader="none"/>
              </w:tabs>
              <w:spacing w:line="240" w:lineRule="auto" w:before="0" w:after="0"/>
              <w:ind w:left="467" w:right="171" w:hanging="361"/>
              <w:jc w:val="left"/>
              <w:rPr>
                <w:sz w:val="22"/>
              </w:rPr>
            </w:pPr>
            <w:r>
              <w:rPr>
                <w:sz w:val="22"/>
              </w:rPr>
              <w:t>A rebalancing in neighbourhood crime has started to take place but at present the new baseline is not fully known, especially as the current financial pressures and hardships being experienced by communities could lead to increased criminality.</w:t>
            </w:r>
          </w:p>
          <w:p>
            <w:pPr>
              <w:pStyle w:val="TableParagraph"/>
              <w:numPr>
                <w:ilvl w:val="0"/>
                <w:numId w:val="9"/>
              </w:numPr>
              <w:tabs>
                <w:tab w:pos="467" w:val="left" w:leader="none"/>
                <w:tab w:pos="468" w:val="left" w:leader="none"/>
              </w:tabs>
              <w:spacing w:line="240" w:lineRule="auto" w:before="0" w:after="0"/>
              <w:ind w:left="467" w:right="122" w:hanging="361"/>
              <w:jc w:val="left"/>
              <w:rPr>
                <w:sz w:val="22"/>
              </w:rPr>
            </w:pPr>
            <w:r>
              <w:rPr>
                <w:sz w:val="22"/>
              </w:rPr>
              <w:t>Crimes of violence are predicted to rise over the next few years, not necessarily because North Yorkshire is becoming more violent, but because more victims of crimes such as domestic abuse, stalking, harassment and malicious communications are reporting offences to police. The increase is predicted to be approximately 70 additional crimes per</w:t>
            </w:r>
            <w:r>
              <w:rPr>
                <w:spacing w:val="-4"/>
                <w:sz w:val="22"/>
              </w:rPr>
              <w:t> </w:t>
            </w:r>
            <w:r>
              <w:rPr>
                <w:sz w:val="22"/>
              </w:rPr>
              <w:t>month.</w:t>
            </w:r>
          </w:p>
          <w:p>
            <w:pPr>
              <w:pStyle w:val="TableParagraph"/>
              <w:numPr>
                <w:ilvl w:val="0"/>
                <w:numId w:val="9"/>
              </w:numPr>
              <w:tabs>
                <w:tab w:pos="467" w:val="left" w:leader="none"/>
                <w:tab w:pos="468" w:val="left" w:leader="none"/>
              </w:tabs>
              <w:spacing w:line="240" w:lineRule="auto" w:before="0" w:after="0"/>
              <w:ind w:left="467" w:right="428" w:hanging="361"/>
              <w:jc w:val="left"/>
              <w:rPr>
                <w:sz w:val="22"/>
              </w:rPr>
            </w:pPr>
            <w:r>
              <w:rPr>
                <w:sz w:val="22"/>
              </w:rPr>
              <w:t>Public order crime is predicted to increase over the next few years by around 158 crimes per</w:t>
            </w:r>
            <w:r>
              <w:rPr>
                <w:spacing w:val="-4"/>
                <w:sz w:val="22"/>
              </w:rPr>
              <w:t> </w:t>
            </w:r>
            <w:r>
              <w:rPr>
                <w:sz w:val="22"/>
              </w:rPr>
              <w:t>month.</w:t>
            </w:r>
          </w:p>
          <w:p>
            <w:pPr>
              <w:pStyle w:val="TableParagraph"/>
              <w:numPr>
                <w:ilvl w:val="0"/>
                <w:numId w:val="9"/>
              </w:numPr>
              <w:tabs>
                <w:tab w:pos="468" w:val="left" w:leader="none"/>
                <w:tab w:pos="469" w:val="left" w:leader="none"/>
              </w:tabs>
              <w:spacing w:line="240" w:lineRule="auto" w:before="0" w:after="0"/>
              <w:ind w:left="468" w:right="227" w:hanging="361"/>
              <w:jc w:val="left"/>
              <w:rPr>
                <w:sz w:val="22"/>
              </w:rPr>
            </w:pPr>
            <w:r>
              <w:rPr>
                <w:sz w:val="22"/>
              </w:rPr>
              <w:t>Due to the continuation of reliance upon digital technology and the growth in digital engagement, it is expected that volume and complexity in this area of business will grow and encompass a broader range of digitally facilitated</w:t>
            </w:r>
            <w:r>
              <w:rPr>
                <w:spacing w:val="-29"/>
                <w:sz w:val="22"/>
              </w:rPr>
              <w:t> </w:t>
            </w:r>
            <w:r>
              <w:rPr>
                <w:sz w:val="22"/>
              </w:rPr>
              <w:t>crime.</w:t>
            </w:r>
          </w:p>
          <w:p>
            <w:pPr>
              <w:pStyle w:val="TableParagraph"/>
              <w:numPr>
                <w:ilvl w:val="0"/>
                <w:numId w:val="9"/>
              </w:numPr>
              <w:tabs>
                <w:tab w:pos="468" w:val="left" w:leader="none"/>
                <w:tab w:pos="469" w:val="left" w:leader="none"/>
              </w:tabs>
              <w:spacing w:line="240" w:lineRule="auto" w:before="0" w:after="0"/>
              <w:ind w:left="468" w:right="550" w:hanging="361"/>
              <w:jc w:val="left"/>
              <w:rPr>
                <w:sz w:val="22"/>
              </w:rPr>
            </w:pPr>
            <w:r>
              <w:rPr>
                <w:sz w:val="22"/>
              </w:rPr>
              <w:t>Oversight of criminal investigations is through the newly established Crime Standards Board which addresses the capacity, capability and standards the force needs to achieve quality crime</w:t>
            </w:r>
            <w:r>
              <w:rPr>
                <w:spacing w:val="-7"/>
                <w:sz w:val="22"/>
              </w:rPr>
              <w:t> </w:t>
            </w:r>
            <w:r>
              <w:rPr>
                <w:sz w:val="22"/>
              </w:rPr>
              <w:t>investigations.</w:t>
            </w:r>
          </w:p>
          <w:p>
            <w:pPr>
              <w:pStyle w:val="TableParagraph"/>
              <w:numPr>
                <w:ilvl w:val="0"/>
                <w:numId w:val="9"/>
              </w:numPr>
              <w:tabs>
                <w:tab w:pos="468" w:val="left" w:leader="none"/>
                <w:tab w:pos="469" w:val="left" w:leader="none"/>
              </w:tabs>
              <w:spacing w:line="240" w:lineRule="auto" w:before="0" w:after="0"/>
              <w:ind w:left="468" w:right="172" w:hanging="361"/>
              <w:jc w:val="left"/>
              <w:rPr>
                <w:sz w:val="22"/>
              </w:rPr>
            </w:pPr>
            <w:r>
              <w:rPr>
                <w:sz w:val="22"/>
              </w:rPr>
              <w:t>Community harm is a control strategy priority and the force has specific plans in relation to burglary and</w:t>
            </w:r>
            <w:r>
              <w:rPr>
                <w:spacing w:val="-5"/>
                <w:sz w:val="22"/>
              </w:rPr>
              <w:t> </w:t>
            </w:r>
            <w:r>
              <w:rPr>
                <w:sz w:val="22"/>
              </w:rPr>
              <w:t>robbery.</w:t>
            </w:r>
          </w:p>
        </w:tc>
      </w:tr>
      <w:tr>
        <w:trPr>
          <w:trHeight w:val="3537" w:hRule="atLeast"/>
        </w:trPr>
        <w:tc>
          <w:tcPr>
            <w:tcW w:w="1697" w:type="dxa"/>
          </w:tcPr>
          <w:p>
            <w:pPr>
              <w:pStyle w:val="TableParagraph"/>
              <w:spacing w:line="268" w:lineRule="exact"/>
              <w:ind w:left="107"/>
              <w:rPr>
                <w:sz w:val="22"/>
              </w:rPr>
            </w:pPr>
            <w:r>
              <w:rPr>
                <w:sz w:val="22"/>
              </w:rPr>
              <w:t>5b. Fraud</w:t>
            </w:r>
          </w:p>
          <w:p>
            <w:pPr>
              <w:pStyle w:val="TableParagraph"/>
              <w:rPr>
                <w:sz w:val="22"/>
              </w:rPr>
            </w:pPr>
          </w:p>
          <w:p>
            <w:pPr>
              <w:pStyle w:val="TableParagraph"/>
              <w:ind w:left="256"/>
              <w:rPr>
                <w:sz w:val="20"/>
              </w:rPr>
            </w:pPr>
            <w:r>
              <w:rPr>
                <w:sz w:val="20"/>
              </w:rPr>
              <w:drawing>
                <wp:inline distT="0" distB="0" distL="0" distR="0">
                  <wp:extent cx="720851" cy="720851"/>
                  <wp:effectExtent l="0" t="0" r="0" b="0"/>
                  <wp:docPr id="15" name="image21.png"/>
                  <wp:cNvGraphicFramePr>
                    <a:graphicFrameLocks noChangeAspect="1"/>
                  </wp:cNvGraphicFramePr>
                  <a:graphic>
                    <a:graphicData uri="http://schemas.openxmlformats.org/drawingml/2006/picture">
                      <pic:pic>
                        <pic:nvPicPr>
                          <pic:cNvPr id="16" name="image21.png"/>
                          <pic:cNvPicPr/>
                        </pic:nvPicPr>
                        <pic:blipFill>
                          <a:blip r:embed="rId28" cstate="print"/>
                          <a:stretch>
                            <a:fillRect/>
                          </a:stretch>
                        </pic:blipFill>
                        <pic:spPr>
                          <a:xfrm>
                            <a:off x="0" y="0"/>
                            <a:ext cx="720851" cy="72085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10"/>
              </w:numPr>
              <w:tabs>
                <w:tab w:pos="467" w:val="left" w:leader="none"/>
                <w:tab w:pos="468" w:val="left" w:leader="none"/>
              </w:tabs>
              <w:spacing w:line="240" w:lineRule="auto" w:before="0" w:after="0"/>
              <w:ind w:left="467" w:right="491" w:hanging="360"/>
              <w:jc w:val="left"/>
              <w:rPr>
                <w:sz w:val="22"/>
              </w:rPr>
            </w:pPr>
            <w:r>
              <w:rPr>
                <w:sz w:val="22"/>
              </w:rPr>
              <w:t>North Yorkshire Police has a different approach to recording fraud and cybercrime that is reported directly to the police, NYP record the details and then report to Action Fraud on behalf of the</w:t>
            </w:r>
            <w:r>
              <w:rPr>
                <w:spacing w:val="-12"/>
                <w:sz w:val="22"/>
              </w:rPr>
              <w:t> </w:t>
            </w:r>
            <w:r>
              <w:rPr>
                <w:sz w:val="22"/>
              </w:rPr>
              <w:t>victim.</w:t>
            </w:r>
          </w:p>
          <w:p>
            <w:pPr>
              <w:pStyle w:val="TableParagraph"/>
              <w:numPr>
                <w:ilvl w:val="0"/>
                <w:numId w:val="10"/>
              </w:numPr>
              <w:tabs>
                <w:tab w:pos="467" w:val="left" w:leader="none"/>
                <w:tab w:pos="468" w:val="left" w:leader="none"/>
              </w:tabs>
              <w:spacing w:line="240" w:lineRule="auto" w:before="0" w:after="0"/>
              <w:ind w:left="467" w:right="541" w:hanging="361"/>
              <w:jc w:val="left"/>
              <w:rPr>
                <w:sz w:val="22"/>
              </w:rPr>
            </w:pPr>
            <w:r>
              <w:rPr>
                <w:sz w:val="22"/>
              </w:rPr>
              <w:t>Fraud reporting increased during the pandemic but dropped from July 21 to below pre-pandemic levels and has remained at this</w:t>
            </w:r>
            <w:r>
              <w:rPr>
                <w:spacing w:val="-14"/>
                <w:sz w:val="22"/>
              </w:rPr>
              <w:t> </w:t>
            </w:r>
            <w:r>
              <w:rPr>
                <w:sz w:val="22"/>
              </w:rPr>
              <w:t>level.</w:t>
            </w:r>
          </w:p>
          <w:p>
            <w:pPr>
              <w:pStyle w:val="TableParagraph"/>
              <w:numPr>
                <w:ilvl w:val="0"/>
                <w:numId w:val="10"/>
              </w:numPr>
              <w:tabs>
                <w:tab w:pos="467" w:val="left" w:leader="none"/>
                <w:tab w:pos="468" w:val="left" w:leader="none"/>
              </w:tabs>
              <w:spacing w:line="240" w:lineRule="auto" w:before="0" w:after="0"/>
              <w:ind w:left="467" w:right="103" w:hanging="361"/>
              <w:jc w:val="left"/>
              <w:rPr>
                <w:sz w:val="22"/>
              </w:rPr>
            </w:pPr>
            <w:r>
              <w:rPr>
                <w:sz w:val="22"/>
              </w:rPr>
              <w:t>A substantial amount of fraud is targeted at elderly and other vulnerable people, the harm at individual level can be severe in terms of both financial and psychological impact. As the elderly population grows in number and technological advances in areas such as artificial intelligence enable the targeting of those vulnerable to particular techniques within the commission of fraud.</w:t>
            </w:r>
          </w:p>
          <w:p>
            <w:pPr>
              <w:pStyle w:val="TableParagraph"/>
              <w:numPr>
                <w:ilvl w:val="0"/>
                <w:numId w:val="10"/>
              </w:numPr>
              <w:tabs>
                <w:tab w:pos="467" w:val="left" w:leader="none"/>
                <w:tab w:pos="468" w:val="left" w:leader="none"/>
              </w:tabs>
              <w:spacing w:line="268" w:lineRule="exact" w:before="5" w:after="0"/>
              <w:ind w:left="467" w:right="276" w:hanging="360"/>
              <w:jc w:val="left"/>
              <w:rPr>
                <w:sz w:val="22"/>
              </w:rPr>
            </w:pPr>
            <w:r>
              <w:rPr>
                <w:sz w:val="22"/>
              </w:rPr>
              <w:t>Investigation is primarily delivered by the Economic Crime Unit (ECU) who deal with major fraud and complex money laundering</w:t>
            </w:r>
            <w:r>
              <w:rPr>
                <w:spacing w:val="-12"/>
                <w:sz w:val="22"/>
              </w:rPr>
              <w:t> </w:t>
            </w:r>
            <w:r>
              <w:rPr>
                <w:sz w:val="22"/>
              </w:rPr>
              <w:t>investigations.</w:t>
            </w:r>
          </w:p>
        </w:tc>
      </w:tr>
    </w:tbl>
    <w:p>
      <w:pPr>
        <w:spacing w:after="0" w:line="268" w:lineRule="exac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789" w:hRule="atLeast"/>
        </w:trPr>
        <w:tc>
          <w:tcPr>
            <w:tcW w:w="1697" w:type="dxa"/>
          </w:tcPr>
          <w:p>
            <w:pPr>
              <w:pStyle w:val="TableParagraph"/>
              <w:rPr>
                <w:rFonts w:ascii="Times New Roman"/>
                <w:sz w:val="22"/>
              </w:rPr>
            </w:pPr>
          </w:p>
        </w:tc>
        <w:tc>
          <w:tcPr>
            <w:tcW w:w="7795" w:type="dxa"/>
          </w:tcPr>
          <w:p>
            <w:pPr>
              <w:pStyle w:val="TableParagraph"/>
              <w:numPr>
                <w:ilvl w:val="0"/>
                <w:numId w:val="11"/>
              </w:numPr>
              <w:tabs>
                <w:tab w:pos="467" w:val="left" w:leader="none"/>
                <w:tab w:pos="468" w:val="left" w:leader="none"/>
              </w:tabs>
              <w:spacing w:line="240" w:lineRule="auto" w:before="0" w:after="0"/>
              <w:ind w:left="467" w:right="121" w:hanging="360"/>
              <w:jc w:val="left"/>
              <w:rPr>
                <w:sz w:val="22"/>
              </w:rPr>
            </w:pPr>
            <w:r>
              <w:rPr>
                <w:sz w:val="22"/>
              </w:rPr>
              <w:t>The ECU includes Fraud Assessors who assess all disseminations from NFIB and a Financial Abuse Safeguarding Officer (FASO) whose role is to mitigate further losses and provide reassurance to community groups as a means of proactive fraud</w:t>
            </w:r>
            <w:r>
              <w:rPr>
                <w:spacing w:val="-2"/>
                <w:sz w:val="22"/>
              </w:rPr>
              <w:t> </w:t>
            </w:r>
            <w:r>
              <w:rPr>
                <w:sz w:val="22"/>
              </w:rPr>
              <w:t>prevention.</w:t>
            </w:r>
          </w:p>
          <w:p>
            <w:pPr>
              <w:pStyle w:val="TableParagraph"/>
              <w:numPr>
                <w:ilvl w:val="0"/>
                <w:numId w:val="11"/>
              </w:numPr>
              <w:tabs>
                <w:tab w:pos="467" w:val="left" w:leader="none"/>
                <w:tab w:pos="468" w:val="left" w:leader="none"/>
              </w:tabs>
              <w:spacing w:line="240" w:lineRule="auto" w:before="0" w:after="0"/>
              <w:ind w:left="467" w:right="308" w:hanging="361"/>
              <w:jc w:val="left"/>
              <w:rPr>
                <w:sz w:val="22"/>
              </w:rPr>
            </w:pPr>
            <w:r>
              <w:rPr>
                <w:sz w:val="22"/>
              </w:rPr>
              <w:t>Nationally, retaining Financial Investigators is challenging due to a competitive labour market and better salaries in the private</w:t>
            </w:r>
            <w:r>
              <w:rPr>
                <w:spacing w:val="-5"/>
                <w:sz w:val="22"/>
              </w:rPr>
              <w:t> </w:t>
            </w:r>
            <w:r>
              <w:rPr>
                <w:sz w:val="22"/>
              </w:rPr>
              <w:t>sector.</w:t>
            </w:r>
          </w:p>
          <w:p>
            <w:pPr>
              <w:pStyle w:val="TableParagraph"/>
              <w:numPr>
                <w:ilvl w:val="0"/>
                <w:numId w:val="11"/>
              </w:numPr>
              <w:tabs>
                <w:tab w:pos="468" w:val="left" w:leader="none"/>
              </w:tabs>
              <w:spacing w:line="240" w:lineRule="auto" w:before="0" w:after="0"/>
              <w:ind w:left="467" w:right="165" w:hanging="361"/>
              <w:jc w:val="both"/>
              <w:rPr>
                <w:sz w:val="22"/>
              </w:rPr>
            </w:pPr>
            <w:r>
              <w:rPr>
                <w:sz w:val="22"/>
              </w:rPr>
              <w:t>The management of future demand will be through prevention that is delivered through advice, reassurance and also safeguarding those at a local level that are vulnerable.</w:t>
            </w:r>
          </w:p>
          <w:p>
            <w:pPr>
              <w:pStyle w:val="TableParagraph"/>
              <w:numPr>
                <w:ilvl w:val="0"/>
                <w:numId w:val="11"/>
              </w:numPr>
              <w:tabs>
                <w:tab w:pos="467" w:val="left" w:leader="none"/>
                <w:tab w:pos="468" w:val="left" w:leader="none"/>
              </w:tabs>
              <w:spacing w:line="240" w:lineRule="auto" w:before="0" w:after="0"/>
              <w:ind w:left="467" w:right="105" w:hanging="361"/>
              <w:jc w:val="left"/>
              <w:rPr>
                <w:sz w:val="22"/>
              </w:rPr>
            </w:pPr>
            <w:r>
              <w:rPr>
                <w:sz w:val="22"/>
              </w:rPr>
              <w:t>If the investigative demand from fraud cannot be reduced through prevention work, it will likely push demand into other departments, such as CID and the Investigation Hubs. This will place additional pressure on investigative resources where there are existing capacity and capability</w:t>
            </w:r>
            <w:r>
              <w:rPr>
                <w:spacing w:val="-10"/>
                <w:sz w:val="22"/>
              </w:rPr>
              <w:t> </w:t>
            </w:r>
            <w:r>
              <w:rPr>
                <w:sz w:val="22"/>
              </w:rPr>
              <w:t>gaps.</w:t>
            </w:r>
          </w:p>
        </w:tc>
      </w:tr>
      <w:tr>
        <w:trPr>
          <w:trHeight w:val="5104" w:hRule="atLeast"/>
        </w:trPr>
        <w:tc>
          <w:tcPr>
            <w:tcW w:w="1697" w:type="dxa"/>
          </w:tcPr>
          <w:p>
            <w:pPr>
              <w:pStyle w:val="TableParagraph"/>
              <w:spacing w:line="268" w:lineRule="exact"/>
              <w:ind w:left="107"/>
              <w:rPr>
                <w:sz w:val="22"/>
              </w:rPr>
            </w:pPr>
            <w:r>
              <w:rPr>
                <w:sz w:val="22"/>
              </w:rPr>
              <w:t>5c. Custody</w:t>
            </w:r>
          </w:p>
          <w:p>
            <w:pPr>
              <w:pStyle w:val="TableParagraph"/>
              <w:spacing w:before="1"/>
              <w:rPr>
                <w:sz w:val="22"/>
              </w:rPr>
            </w:pPr>
          </w:p>
          <w:p>
            <w:pPr>
              <w:pStyle w:val="TableParagraph"/>
              <w:ind w:left="256"/>
              <w:rPr>
                <w:sz w:val="20"/>
              </w:rPr>
            </w:pPr>
            <w:r>
              <w:rPr>
                <w:sz w:val="20"/>
              </w:rPr>
              <w:drawing>
                <wp:inline distT="0" distB="0" distL="0" distR="0">
                  <wp:extent cx="720851" cy="720851"/>
                  <wp:effectExtent l="0" t="0" r="0" b="0"/>
                  <wp:docPr id="17" name="image21.png"/>
                  <wp:cNvGraphicFramePr>
                    <a:graphicFrameLocks noChangeAspect="1"/>
                  </wp:cNvGraphicFramePr>
                  <a:graphic>
                    <a:graphicData uri="http://schemas.openxmlformats.org/drawingml/2006/picture">
                      <pic:pic>
                        <pic:nvPicPr>
                          <pic:cNvPr id="18" name="image21.png"/>
                          <pic:cNvPicPr/>
                        </pic:nvPicPr>
                        <pic:blipFill>
                          <a:blip r:embed="rId28" cstate="print"/>
                          <a:stretch>
                            <a:fillRect/>
                          </a:stretch>
                        </pic:blipFill>
                        <pic:spPr>
                          <a:xfrm>
                            <a:off x="0" y="0"/>
                            <a:ext cx="720851" cy="72085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1"/>
              </w:rPr>
            </w:pPr>
          </w:p>
        </w:tc>
        <w:tc>
          <w:tcPr>
            <w:tcW w:w="7795" w:type="dxa"/>
          </w:tcPr>
          <w:p>
            <w:pPr>
              <w:pStyle w:val="TableParagraph"/>
              <w:numPr>
                <w:ilvl w:val="0"/>
                <w:numId w:val="12"/>
              </w:numPr>
              <w:tabs>
                <w:tab w:pos="467" w:val="left" w:leader="none"/>
                <w:tab w:pos="468" w:val="left" w:leader="none"/>
              </w:tabs>
              <w:spacing w:line="240" w:lineRule="auto" w:before="0" w:after="0"/>
              <w:ind w:left="467" w:right="160" w:hanging="360"/>
              <w:jc w:val="left"/>
              <w:rPr>
                <w:sz w:val="22"/>
              </w:rPr>
            </w:pPr>
            <w:r>
              <w:rPr>
                <w:sz w:val="22"/>
              </w:rPr>
              <w:t>The forecast for arrests in North Yorkshire is relatively static at around 11,700 per annum. However, the overall throughput in custody is anticipated to exceed these predicted levels when factoring in both the impact of the new bail legislation and the uplift in police officers potentially leading to an increase in investigative activity and subsequent</w:t>
            </w:r>
            <w:r>
              <w:rPr>
                <w:spacing w:val="-2"/>
                <w:sz w:val="22"/>
              </w:rPr>
              <w:t> </w:t>
            </w:r>
            <w:r>
              <w:rPr>
                <w:sz w:val="22"/>
              </w:rPr>
              <w:t>arrests.</w:t>
            </w:r>
          </w:p>
          <w:p>
            <w:pPr>
              <w:pStyle w:val="TableParagraph"/>
              <w:numPr>
                <w:ilvl w:val="0"/>
                <w:numId w:val="12"/>
              </w:numPr>
              <w:tabs>
                <w:tab w:pos="467" w:val="left" w:leader="none"/>
                <w:tab w:pos="468" w:val="left" w:leader="none"/>
              </w:tabs>
              <w:spacing w:line="237" w:lineRule="auto" w:before="3" w:after="0"/>
              <w:ind w:left="467" w:right="480" w:hanging="361"/>
              <w:jc w:val="left"/>
              <w:rPr>
                <w:sz w:val="22"/>
              </w:rPr>
            </w:pPr>
            <w:r>
              <w:rPr>
                <w:sz w:val="22"/>
              </w:rPr>
              <w:t>It is likely that voluntary attendances will follow the same pattern seen since early 2021 and in essence remain relatively</w:t>
            </w:r>
            <w:r>
              <w:rPr>
                <w:spacing w:val="-11"/>
                <w:sz w:val="22"/>
              </w:rPr>
              <w:t> </w:t>
            </w:r>
            <w:r>
              <w:rPr>
                <w:sz w:val="22"/>
              </w:rPr>
              <w:t>static.</w:t>
            </w:r>
          </w:p>
          <w:p>
            <w:pPr>
              <w:pStyle w:val="TableParagraph"/>
              <w:numPr>
                <w:ilvl w:val="0"/>
                <w:numId w:val="12"/>
              </w:numPr>
              <w:tabs>
                <w:tab w:pos="467" w:val="left" w:leader="none"/>
                <w:tab w:pos="468" w:val="left" w:leader="none"/>
              </w:tabs>
              <w:spacing w:line="240" w:lineRule="auto" w:before="2" w:after="0"/>
              <w:ind w:left="467" w:right="135" w:hanging="361"/>
              <w:jc w:val="left"/>
              <w:rPr>
                <w:sz w:val="22"/>
              </w:rPr>
            </w:pPr>
            <w:r>
              <w:rPr>
                <w:sz w:val="22"/>
              </w:rPr>
              <w:t>Investment is being made in relation to technological advancements to continue to deliver safe custody</w:t>
            </w:r>
            <w:r>
              <w:rPr>
                <w:spacing w:val="-5"/>
                <w:sz w:val="22"/>
              </w:rPr>
              <w:t> </w:t>
            </w:r>
            <w:r>
              <w:rPr>
                <w:sz w:val="22"/>
              </w:rPr>
              <w:t>services.</w:t>
            </w:r>
          </w:p>
          <w:p>
            <w:pPr>
              <w:pStyle w:val="TableParagraph"/>
              <w:numPr>
                <w:ilvl w:val="0"/>
                <w:numId w:val="12"/>
              </w:numPr>
              <w:tabs>
                <w:tab w:pos="467" w:val="left" w:leader="none"/>
                <w:tab w:pos="468" w:val="left" w:leader="none"/>
              </w:tabs>
              <w:spacing w:line="240" w:lineRule="auto" w:before="0" w:after="0"/>
              <w:ind w:left="467" w:right="165" w:hanging="361"/>
              <w:jc w:val="left"/>
              <w:rPr>
                <w:sz w:val="22"/>
              </w:rPr>
            </w:pPr>
            <w:r>
              <w:rPr>
                <w:sz w:val="22"/>
              </w:rPr>
              <w:t>In June / July 2022, NYP was subject of a HMICFRS Custody Inspection (including a physical condition report), the report made a number of recommendations including 2 areas which were a cause for</w:t>
            </w:r>
            <w:r>
              <w:rPr>
                <w:spacing w:val="-3"/>
                <w:sz w:val="22"/>
              </w:rPr>
              <w:t> </w:t>
            </w:r>
            <w:r>
              <w:rPr>
                <w:sz w:val="22"/>
              </w:rPr>
              <w:t>concern.</w:t>
            </w:r>
          </w:p>
          <w:p>
            <w:pPr>
              <w:pStyle w:val="TableParagraph"/>
              <w:numPr>
                <w:ilvl w:val="0"/>
                <w:numId w:val="12"/>
              </w:numPr>
              <w:tabs>
                <w:tab w:pos="468" w:val="left" w:leader="none"/>
                <w:tab w:pos="469" w:val="left" w:leader="none"/>
              </w:tabs>
              <w:spacing w:line="240" w:lineRule="auto" w:before="0" w:after="0"/>
              <w:ind w:left="468" w:right="276" w:hanging="361"/>
              <w:jc w:val="left"/>
              <w:rPr>
                <w:sz w:val="22"/>
              </w:rPr>
            </w:pPr>
            <w:r>
              <w:rPr>
                <w:sz w:val="22"/>
              </w:rPr>
              <w:t>Capacity and capability and maintaining resilient levels within custody are a challenge due to long standing issues with sergeant rotation and retention and training for all custody roles. This will require a further</w:t>
            </w:r>
            <w:r>
              <w:rPr>
                <w:spacing w:val="-11"/>
                <w:sz w:val="22"/>
              </w:rPr>
              <w:t> </w:t>
            </w:r>
            <w:r>
              <w:rPr>
                <w:sz w:val="22"/>
              </w:rPr>
              <w:t>review.</w:t>
            </w:r>
          </w:p>
          <w:p>
            <w:pPr>
              <w:pStyle w:val="TableParagraph"/>
              <w:numPr>
                <w:ilvl w:val="0"/>
                <w:numId w:val="12"/>
              </w:numPr>
              <w:tabs>
                <w:tab w:pos="468" w:val="left" w:leader="none"/>
                <w:tab w:pos="469" w:val="left" w:leader="none"/>
              </w:tabs>
              <w:spacing w:line="240" w:lineRule="auto" w:before="0" w:after="0"/>
              <w:ind w:left="468" w:right="248" w:hanging="361"/>
              <w:jc w:val="left"/>
              <w:rPr>
                <w:sz w:val="22"/>
              </w:rPr>
            </w:pPr>
            <w:r>
              <w:rPr>
                <w:sz w:val="22"/>
              </w:rPr>
              <w:t>Some of the custody estate is aged (York and Scarborough) which will require a substantial amount of capital investment to ensure health and safety compliance, detainee welfare and dignity and</w:t>
            </w:r>
            <w:r>
              <w:rPr>
                <w:spacing w:val="-3"/>
                <w:sz w:val="22"/>
              </w:rPr>
              <w:t> </w:t>
            </w:r>
            <w:r>
              <w:rPr>
                <w:sz w:val="22"/>
              </w:rPr>
              <w:t>accessibility.</w:t>
            </w:r>
          </w:p>
        </w:tc>
      </w:tr>
      <w:tr>
        <w:trPr>
          <w:trHeight w:val="5150" w:hRule="atLeast"/>
        </w:trPr>
        <w:tc>
          <w:tcPr>
            <w:tcW w:w="1697" w:type="dxa"/>
          </w:tcPr>
          <w:p>
            <w:pPr>
              <w:pStyle w:val="TableParagraph"/>
              <w:ind w:left="107" w:right="370"/>
              <w:rPr>
                <w:sz w:val="22"/>
              </w:rPr>
            </w:pPr>
            <w:r>
              <w:rPr>
                <w:sz w:val="22"/>
              </w:rPr>
              <w:t>5d. Sanctions and Prosecutions</w:t>
            </w:r>
          </w:p>
          <w:p>
            <w:pPr>
              <w:pStyle w:val="TableParagraph"/>
              <w:rPr>
                <w:sz w:val="22"/>
              </w:rPr>
            </w:pPr>
          </w:p>
          <w:p>
            <w:pPr>
              <w:pStyle w:val="TableParagraph"/>
              <w:ind w:left="256"/>
              <w:rPr>
                <w:sz w:val="20"/>
              </w:rPr>
            </w:pPr>
            <w:r>
              <w:rPr>
                <w:sz w:val="20"/>
              </w:rPr>
              <w:drawing>
                <wp:inline distT="0" distB="0" distL="0" distR="0">
                  <wp:extent cx="720852" cy="720851"/>
                  <wp:effectExtent l="0" t="0" r="0" b="0"/>
                  <wp:docPr id="19" name="image21.png"/>
                  <wp:cNvGraphicFramePr>
                    <a:graphicFrameLocks noChangeAspect="1"/>
                  </wp:cNvGraphicFramePr>
                  <a:graphic>
                    <a:graphicData uri="http://schemas.openxmlformats.org/drawingml/2006/picture">
                      <pic:pic>
                        <pic:nvPicPr>
                          <pic:cNvPr id="20" name="image21.png"/>
                          <pic:cNvPicPr/>
                        </pic:nvPicPr>
                        <pic:blipFill>
                          <a:blip r:embed="rId28" cstate="print"/>
                          <a:stretch>
                            <a:fillRect/>
                          </a:stretch>
                        </pic:blipFill>
                        <pic:spPr>
                          <a:xfrm>
                            <a:off x="0" y="0"/>
                            <a:ext cx="720852" cy="72085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9"/>
              <w:rPr>
                <w:sz w:val="20"/>
              </w:rPr>
            </w:pPr>
          </w:p>
        </w:tc>
        <w:tc>
          <w:tcPr>
            <w:tcW w:w="7795" w:type="dxa"/>
          </w:tcPr>
          <w:p>
            <w:pPr>
              <w:pStyle w:val="TableParagraph"/>
              <w:numPr>
                <w:ilvl w:val="0"/>
                <w:numId w:val="13"/>
              </w:numPr>
              <w:tabs>
                <w:tab w:pos="467" w:val="left" w:leader="none"/>
                <w:tab w:pos="468" w:val="left" w:leader="none"/>
              </w:tabs>
              <w:spacing w:line="240" w:lineRule="auto" w:before="0" w:after="0"/>
              <w:ind w:left="467" w:right="188" w:hanging="360"/>
              <w:jc w:val="left"/>
              <w:rPr>
                <w:sz w:val="22"/>
              </w:rPr>
            </w:pPr>
            <w:r>
              <w:rPr>
                <w:sz w:val="22"/>
              </w:rPr>
              <w:t>The demand on the Criminal Justice Department (CJD) can be split into two types, the business as usual responsive demand and the demand generated from continuous national changes whether it be legislative, ministerial, NPCC or from other agency change</w:t>
            </w:r>
            <w:r>
              <w:rPr>
                <w:spacing w:val="-5"/>
                <w:sz w:val="22"/>
              </w:rPr>
              <w:t> </w:t>
            </w:r>
            <w:r>
              <w:rPr>
                <w:sz w:val="22"/>
              </w:rPr>
              <w:t>programmes.</w:t>
            </w:r>
          </w:p>
          <w:p>
            <w:pPr>
              <w:pStyle w:val="TableParagraph"/>
              <w:numPr>
                <w:ilvl w:val="0"/>
                <w:numId w:val="13"/>
              </w:numPr>
              <w:tabs>
                <w:tab w:pos="467" w:val="left" w:leader="none"/>
                <w:tab w:pos="468" w:val="left" w:leader="none"/>
              </w:tabs>
              <w:spacing w:line="240" w:lineRule="auto" w:before="0" w:after="0"/>
              <w:ind w:left="467" w:right="170" w:hanging="361"/>
              <w:jc w:val="left"/>
              <w:rPr>
                <w:sz w:val="22"/>
              </w:rPr>
            </w:pPr>
            <w:r>
              <w:rPr>
                <w:sz w:val="22"/>
              </w:rPr>
              <w:t>The responsive demand is expected to continue to increase linked to forecasted increases in a number of crime types which is being investigated by a larger establishment of officers, a large proportion of which are inexperienced and require additional</w:t>
            </w:r>
            <w:r>
              <w:rPr>
                <w:spacing w:val="-3"/>
                <w:sz w:val="22"/>
              </w:rPr>
              <w:t> </w:t>
            </w:r>
            <w:r>
              <w:rPr>
                <w:sz w:val="22"/>
              </w:rPr>
              <w:t>support.</w:t>
            </w:r>
          </w:p>
          <w:p>
            <w:pPr>
              <w:pStyle w:val="TableParagraph"/>
              <w:numPr>
                <w:ilvl w:val="0"/>
                <w:numId w:val="13"/>
              </w:numPr>
              <w:tabs>
                <w:tab w:pos="467" w:val="left" w:leader="none"/>
                <w:tab w:pos="468" w:val="left" w:leader="none"/>
              </w:tabs>
              <w:spacing w:line="240" w:lineRule="auto" w:before="0" w:after="0"/>
              <w:ind w:left="467" w:right="214" w:hanging="361"/>
              <w:jc w:val="left"/>
              <w:rPr>
                <w:sz w:val="22"/>
              </w:rPr>
            </w:pPr>
            <w:r>
              <w:rPr>
                <w:sz w:val="22"/>
              </w:rPr>
              <w:t>A significant programme of national change will place increased requirements on CJD, the effects of which will permeate across the whole force. This work continues to gain increasing momentum and public focus and accountability. Criminal Justice account for over a quarter of the programmes / projects on the change pipeline.</w:t>
            </w:r>
          </w:p>
          <w:p>
            <w:pPr>
              <w:pStyle w:val="TableParagraph"/>
              <w:numPr>
                <w:ilvl w:val="0"/>
                <w:numId w:val="13"/>
              </w:numPr>
              <w:tabs>
                <w:tab w:pos="467" w:val="left" w:leader="none"/>
                <w:tab w:pos="468" w:val="left" w:leader="none"/>
              </w:tabs>
              <w:spacing w:line="240" w:lineRule="auto" w:before="0" w:after="0"/>
              <w:ind w:left="467" w:right="205" w:hanging="361"/>
              <w:jc w:val="left"/>
              <w:rPr>
                <w:sz w:val="22"/>
              </w:rPr>
            </w:pPr>
            <w:r>
              <w:rPr>
                <w:sz w:val="22"/>
              </w:rPr>
              <w:t>The Firearms Licensing team manage the highest number of firearm certificates and 4th highest number of shotgun certificates per 100,000 head of population when compared with all other police forces. The focus on firearms licensing has intensified following the tragic shootings in Plymouth in August 2021, the subsequent findings and requirements upon forces is expected to increase</w:t>
            </w:r>
            <w:r>
              <w:rPr>
                <w:spacing w:val="-21"/>
                <w:sz w:val="22"/>
              </w:rPr>
              <w:t> </w:t>
            </w:r>
            <w:r>
              <w:rPr>
                <w:sz w:val="22"/>
              </w:rPr>
              <w:t>the</w:t>
            </w:r>
          </w:p>
          <w:p>
            <w:pPr>
              <w:pStyle w:val="TableParagraph"/>
              <w:spacing w:line="249" w:lineRule="exact"/>
              <w:ind w:left="467"/>
              <w:rPr>
                <w:sz w:val="22"/>
              </w:rPr>
            </w:pPr>
            <w:r>
              <w:rPr>
                <w:sz w:val="22"/>
              </w:rPr>
              <w:t>demand upon the team.</w:t>
            </w:r>
          </w:p>
        </w:tc>
      </w:tr>
    </w:tbl>
    <w:p>
      <w:pPr>
        <w:spacing w:after="0" w:line="249" w:lineRule="exac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5966" w:hRule="atLeast"/>
        </w:trPr>
        <w:tc>
          <w:tcPr>
            <w:tcW w:w="1697" w:type="dxa"/>
          </w:tcPr>
          <w:p>
            <w:pPr>
              <w:pStyle w:val="TableParagraph"/>
              <w:rPr>
                <w:rFonts w:ascii="Times New Roman"/>
                <w:sz w:val="22"/>
              </w:rPr>
            </w:pPr>
          </w:p>
        </w:tc>
        <w:tc>
          <w:tcPr>
            <w:tcW w:w="7795" w:type="dxa"/>
          </w:tcPr>
          <w:p>
            <w:pPr>
              <w:pStyle w:val="TableParagraph"/>
              <w:numPr>
                <w:ilvl w:val="0"/>
                <w:numId w:val="14"/>
              </w:numPr>
              <w:tabs>
                <w:tab w:pos="467" w:val="left" w:leader="none"/>
                <w:tab w:pos="468" w:val="left" w:leader="none"/>
              </w:tabs>
              <w:spacing w:line="240" w:lineRule="auto" w:before="0" w:after="0"/>
              <w:ind w:left="467" w:right="160" w:hanging="360"/>
              <w:jc w:val="left"/>
              <w:rPr>
                <w:sz w:val="22"/>
              </w:rPr>
            </w:pPr>
            <w:r>
              <w:rPr>
                <w:sz w:val="22"/>
              </w:rPr>
              <w:t>Firearms Licensing, Traffic bureau, PNC have the capacity and capability to meet the current demand however, it is anticipated that this will be insufficient to meet the future</w:t>
            </w:r>
            <w:r>
              <w:rPr>
                <w:spacing w:val="-1"/>
                <w:sz w:val="22"/>
              </w:rPr>
              <w:t> </w:t>
            </w:r>
            <w:r>
              <w:rPr>
                <w:sz w:val="22"/>
              </w:rPr>
              <w:t>demand.</w:t>
            </w:r>
          </w:p>
          <w:p>
            <w:pPr>
              <w:pStyle w:val="TableParagraph"/>
              <w:numPr>
                <w:ilvl w:val="0"/>
                <w:numId w:val="14"/>
              </w:numPr>
              <w:tabs>
                <w:tab w:pos="467" w:val="left" w:leader="none"/>
                <w:tab w:pos="468" w:val="left" w:leader="none"/>
              </w:tabs>
              <w:spacing w:line="240" w:lineRule="auto" w:before="0" w:after="0"/>
              <w:ind w:left="467" w:right="221" w:hanging="361"/>
              <w:jc w:val="left"/>
              <w:rPr>
                <w:sz w:val="22"/>
              </w:rPr>
            </w:pPr>
            <w:r>
              <w:rPr>
                <w:sz w:val="22"/>
              </w:rPr>
              <w:t>There is insufficient capacity to meet current and future demand within the Prosecution Team and Witness Care Unit, the latter of which is recorded on the force risk</w:t>
            </w:r>
            <w:r>
              <w:rPr>
                <w:spacing w:val="-2"/>
                <w:sz w:val="22"/>
              </w:rPr>
              <w:t> </w:t>
            </w:r>
            <w:r>
              <w:rPr>
                <w:sz w:val="22"/>
              </w:rPr>
              <w:t>register.</w:t>
            </w:r>
          </w:p>
          <w:p>
            <w:pPr>
              <w:pStyle w:val="TableParagraph"/>
              <w:numPr>
                <w:ilvl w:val="0"/>
                <w:numId w:val="14"/>
              </w:numPr>
              <w:tabs>
                <w:tab w:pos="467" w:val="left" w:leader="none"/>
                <w:tab w:pos="468" w:val="left" w:leader="none"/>
              </w:tabs>
              <w:spacing w:line="240" w:lineRule="auto" w:before="0" w:after="0"/>
              <w:ind w:left="467" w:right="199" w:hanging="361"/>
              <w:jc w:val="left"/>
              <w:rPr>
                <w:sz w:val="22"/>
              </w:rPr>
            </w:pPr>
            <w:r>
              <w:rPr>
                <w:sz w:val="22"/>
              </w:rPr>
              <w:t>Compliance with the Victim Code of Practice is an area of scrutiny for the force both nationally and locally (as identified by the Inspectorate). A detailed action plan has been developed and will require capacity and capable expertise from a number of functions across the organisation to be successfully</w:t>
            </w:r>
            <w:r>
              <w:rPr>
                <w:spacing w:val="-17"/>
                <w:sz w:val="22"/>
              </w:rPr>
              <w:t> </w:t>
            </w:r>
            <w:r>
              <w:rPr>
                <w:sz w:val="22"/>
              </w:rPr>
              <w:t>implemented.</w:t>
            </w:r>
          </w:p>
          <w:p>
            <w:pPr>
              <w:pStyle w:val="TableParagraph"/>
              <w:numPr>
                <w:ilvl w:val="0"/>
                <w:numId w:val="14"/>
              </w:numPr>
              <w:tabs>
                <w:tab w:pos="467" w:val="left" w:leader="none"/>
                <w:tab w:pos="468" w:val="left" w:leader="none"/>
              </w:tabs>
              <w:spacing w:line="240" w:lineRule="auto" w:before="0" w:after="0"/>
              <w:ind w:left="467" w:right="118" w:hanging="361"/>
              <w:jc w:val="left"/>
              <w:rPr>
                <w:sz w:val="22"/>
              </w:rPr>
            </w:pPr>
            <w:r>
              <w:rPr>
                <w:sz w:val="22"/>
              </w:rPr>
              <w:t>The organisational redesign work is seeking to shape the future operating model for the force. As a result, vacant posts are being scrutinised to ensure that they align to our current and future predictions of demand. CJD have been requested to support this organisational redesign and to explore potential options of 10%, 20% and 30% savings from revenue</w:t>
            </w:r>
            <w:r>
              <w:rPr>
                <w:spacing w:val="-8"/>
                <w:sz w:val="22"/>
              </w:rPr>
              <w:t> </w:t>
            </w:r>
            <w:r>
              <w:rPr>
                <w:sz w:val="22"/>
              </w:rPr>
              <w:t>budget.</w:t>
            </w:r>
          </w:p>
          <w:p>
            <w:pPr>
              <w:pStyle w:val="TableParagraph"/>
              <w:numPr>
                <w:ilvl w:val="0"/>
                <w:numId w:val="14"/>
              </w:numPr>
              <w:tabs>
                <w:tab w:pos="468" w:val="left" w:leader="none"/>
                <w:tab w:pos="469" w:val="left" w:leader="none"/>
              </w:tabs>
              <w:spacing w:line="240" w:lineRule="auto" w:before="0" w:after="0"/>
              <w:ind w:left="468" w:right="154" w:hanging="361"/>
              <w:jc w:val="left"/>
              <w:rPr>
                <w:sz w:val="22"/>
              </w:rPr>
            </w:pPr>
            <w:r>
              <w:rPr>
                <w:sz w:val="22"/>
              </w:rPr>
              <w:t>CJ has a large amount of vacancies and a review of efficiency savings is</w:t>
            </w:r>
            <w:r>
              <w:rPr>
                <w:spacing w:val="-31"/>
                <w:sz w:val="22"/>
              </w:rPr>
              <w:t> </w:t>
            </w:r>
            <w:r>
              <w:rPr>
                <w:sz w:val="22"/>
              </w:rPr>
              <w:t>currently taking place which has necessitated the pausing of recruitment to a number of posts established following the 2022/23 planning cycle and will have an impact upon current demand and could impact on future capacity to deliver plans and projects. Posts identified as dealing with high risk or high priority demand will be closely monitored and recruited to if</w:t>
            </w:r>
            <w:r>
              <w:rPr>
                <w:spacing w:val="-7"/>
                <w:sz w:val="22"/>
              </w:rPr>
              <w:t> </w:t>
            </w:r>
            <w:r>
              <w:rPr>
                <w:sz w:val="22"/>
              </w:rPr>
              <w:t>needed.</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7769"/>
      </w:tblGrid>
      <w:tr>
        <w:trPr>
          <w:trHeight w:val="340" w:hRule="atLeast"/>
        </w:trPr>
        <w:tc>
          <w:tcPr>
            <w:tcW w:w="9492" w:type="dxa"/>
            <w:gridSpan w:val="2"/>
            <w:shd w:val="clear" w:color="auto" w:fill="5A2356"/>
          </w:tcPr>
          <w:p>
            <w:pPr>
              <w:pStyle w:val="TableParagraph"/>
              <w:spacing w:line="320" w:lineRule="exact"/>
              <w:ind w:left="107"/>
              <w:rPr>
                <w:b/>
                <w:sz w:val="28"/>
              </w:rPr>
            </w:pPr>
            <w:r>
              <w:rPr>
                <w:b/>
                <w:color w:val="FFFFFF"/>
                <w:sz w:val="28"/>
              </w:rPr>
              <w:t>Chapter 6: Protecting Vulnerable People</w:t>
            </w:r>
          </w:p>
        </w:tc>
      </w:tr>
      <w:tr>
        <w:trPr>
          <w:trHeight w:val="270" w:hRule="atLeast"/>
        </w:trPr>
        <w:tc>
          <w:tcPr>
            <w:tcW w:w="1723" w:type="dxa"/>
            <w:shd w:val="clear" w:color="auto" w:fill="D9E1F3"/>
          </w:tcPr>
          <w:p>
            <w:pPr>
              <w:pStyle w:val="TableParagraph"/>
              <w:spacing w:line="249" w:lineRule="exact" w:before="1"/>
              <w:ind w:left="107"/>
              <w:rPr>
                <w:b/>
                <w:sz w:val="22"/>
              </w:rPr>
            </w:pPr>
            <w:r>
              <w:rPr>
                <w:b/>
                <w:sz w:val="22"/>
              </w:rPr>
              <w:t>Section</w:t>
            </w:r>
          </w:p>
        </w:tc>
        <w:tc>
          <w:tcPr>
            <w:tcW w:w="7769" w:type="dxa"/>
            <w:shd w:val="clear" w:color="auto" w:fill="D9E1F3"/>
          </w:tcPr>
          <w:p>
            <w:pPr>
              <w:pStyle w:val="TableParagraph"/>
              <w:spacing w:line="249" w:lineRule="exact" w:before="1"/>
              <w:ind w:left="108"/>
              <w:rPr>
                <w:b/>
                <w:sz w:val="22"/>
              </w:rPr>
            </w:pPr>
            <w:r>
              <w:rPr>
                <w:b/>
                <w:sz w:val="22"/>
              </w:rPr>
              <w:t>Executive Summary</w:t>
            </w:r>
          </w:p>
        </w:tc>
      </w:tr>
      <w:tr>
        <w:trPr>
          <w:trHeight w:val="7343" w:hRule="atLeast"/>
        </w:trPr>
        <w:tc>
          <w:tcPr>
            <w:tcW w:w="1723" w:type="dxa"/>
          </w:tcPr>
          <w:p>
            <w:pPr>
              <w:pStyle w:val="TableParagraph"/>
              <w:spacing w:line="237" w:lineRule="auto" w:before="1"/>
              <w:ind w:left="107" w:right="416"/>
              <w:rPr>
                <w:sz w:val="22"/>
              </w:rPr>
            </w:pPr>
            <w:r>
              <w:rPr>
                <w:sz w:val="22"/>
              </w:rPr>
              <w:t>6a. Adult Safeguarding</w:t>
            </w:r>
          </w:p>
          <w:p>
            <w:pPr>
              <w:pStyle w:val="TableParagraph"/>
              <w:spacing w:before="3"/>
              <w:rPr>
                <w:sz w:val="22"/>
              </w:rPr>
            </w:pPr>
          </w:p>
          <w:p>
            <w:pPr>
              <w:pStyle w:val="TableParagraph"/>
              <w:ind w:left="256"/>
              <w:rPr>
                <w:sz w:val="20"/>
              </w:rPr>
            </w:pPr>
            <w:r>
              <w:rPr>
                <w:sz w:val="20"/>
              </w:rPr>
              <w:drawing>
                <wp:inline distT="0" distB="0" distL="0" distR="0">
                  <wp:extent cx="683133" cy="683133"/>
                  <wp:effectExtent l="0" t="0" r="0" b="0"/>
                  <wp:docPr id="21" name="image22.png"/>
                  <wp:cNvGraphicFramePr>
                    <a:graphicFrameLocks noChangeAspect="1"/>
                  </wp:cNvGraphicFramePr>
                  <a:graphic>
                    <a:graphicData uri="http://schemas.openxmlformats.org/drawingml/2006/picture">
                      <pic:pic>
                        <pic:nvPicPr>
                          <pic:cNvPr id="22" name="image22.png"/>
                          <pic:cNvPicPr/>
                        </pic:nvPicPr>
                        <pic:blipFill>
                          <a:blip r:embed="rId29" cstate="print"/>
                          <a:stretch>
                            <a:fillRect/>
                          </a:stretch>
                        </pic:blipFill>
                        <pic:spPr>
                          <a:xfrm>
                            <a:off x="0" y="0"/>
                            <a:ext cx="683133"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7"/>
              </w:rPr>
            </w:pPr>
          </w:p>
        </w:tc>
        <w:tc>
          <w:tcPr>
            <w:tcW w:w="7769" w:type="dxa"/>
          </w:tcPr>
          <w:p>
            <w:pPr>
              <w:pStyle w:val="TableParagraph"/>
              <w:numPr>
                <w:ilvl w:val="0"/>
                <w:numId w:val="15"/>
              </w:numPr>
              <w:tabs>
                <w:tab w:pos="467" w:val="left" w:leader="none"/>
                <w:tab w:pos="468" w:val="left" w:leader="none"/>
              </w:tabs>
              <w:spacing w:line="240" w:lineRule="auto" w:before="0" w:after="0"/>
              <w:ind w:left="468" w:right="203" w:hanging="360"/>
              <w:jc w:val="left"/>
              <w:rPr>
                <w:sz w:val="22"/>
              </w:rPr>
            </w:pPr>
            <w:r>
              <w:rPr>
                <w:sz w:val="22"/>
              </w:rPr>
              <w:t>NHS Adult Safeguarding data (2021/22) suggests that they saw a 9% increase in concerns of abuse on the previous year and enquiries that commenced under Section 42 of the Care Act 2014 during 2021/22 increased by</w:t>
            </w:r>
            <w:r>
              <w:rPr>
                <w:spacing w:val="-16"/>
                <w:sz w:val="22"/>
              </w:rPr>
              <w:t> </w:t>
            </w:r>
            <w:r>
              <w:rPr>
                <w:sz w:val="22"/>
              </w:rPr>
              <w:t>6%.</w:t>
            </w:r>
          </w:p>
          <w:p>
            <w:pPr>
              <w:pStyle w:val="TableParagraph"/>
              <w:numPr>
                <w:ilvl w:val="0"/>
                <w:numId w:val="15"/>
              </w:numPr>
              <w:tabs>
                <w:tab w:pos="468" w:val="left" w:leader="none"/>
                <w:tab w:pos="469" w:val="left" w:leader="none"/>
              </w:tabs>
              <w:spacing w:line="240" w:lineRule="auto" w:before="0" w:after="0"/>
              <w:ind w:left="468" w:right="114" w:hanging="361"/>
              <w:jc w:val="left"/>
              <w:rPr>
                <w:sz w:val="22"/>
              </w:rPr>
            </w:pPr>
            <w:r>
              <w:rPr>
                <w:sz w:val="22"/>
              </w:rPr>
              <w:t>The 2021 census indicates that there were more people than ever aged 65 years and over in England, more than one in six people (18.4%) were aged 65 years which is a higher percentage than ever before. The census also shows that within York the percentage of the population that is over 65 is 19.1% and in North Yorkshire is</w:t>
            </w:r>
            <w:r>
              <w:rPr>
                <w:spacing w:val="-3"/>
                <w:sz w:val="22"/>
              </w:rPr>
              <w:t> </w:t>
            </w:r>
            <w:r>
              <w:rPr>
                <w:sz w:val="22"/>
              </w:rPr>
              <w:t>25.1%.</w:t>
            </w:r>
          </w:p>
          <w:p>
            <w:pPr>
              <w:pStyle w:val="TableParagraph"/>
              <w:numPr>
                <w:ilvl w:val="0"/>
                <w:numId w:val="15"/>
              </w:numPr>
              <w:tabs>
                <w:tab w:pos="468" w:val="left" w:leader="none"/>
                <w:tab w:pos="469" w:val="left" w:leader="none"/>
              </w:tabs>
              <w:spacing w:line="240" w:lineRule="auto" w:before="0" w:after="0"/>
              <w:ind w:left="468" w:right="137" w:hanging="361"/>
              <w:jc w:val="left"/>
              <w:rPr>
                <w:sz w:val="22"/>
              </w:rPr>
            </w:pPr>
            <w:r>
              <w:rPr>
                <w:sz w:val="22"/>
              </w:rPr>
              <w:t>The number of referrals through the Public Protection Notice (PPN) has increased, placing more demand upon the risk assessment process. The number of PPNs submitted to the Vulnerability Assessment Team (VAT) for an adult at risk has increased by 29% from 2021/22 to 2022/23, this could be in part due to the increased scrutiny in this</w:t>
            </w:r>
            <w:r>
              <w:rPr>
                <w:spacing w:val="-1"/>
                <w:sz w:val="22"/>
              </w:rPr>
              <w:t> </w:t>
            </w:r>
            <w:r>
              <w:rPr>
                <w:sz w:val="22"/>
              </w:rPr>
              <w:t>area.</w:t>
            </w:r>
          </w:p>
          <w:p>
            <w:pPr>
              <w:pStyle w:val="TableParagraph"/>
              <w:numPr>
                <w:ilvl w:val="0"/>
                <w:numId w:val="15"/>
              </w:numPr>
              <w:tabs>
                <w:tab w:pos="468" w:val="left" w:leader="none"/>
                <w:tab w:pos="469" w:val="left" w:leader="none"/>
              </w:tabs>
              <w:spacing w:line="240" w:lineRule="auto" w:before="0" w:after="0"/>
              <w:ind w:left="468" w:right="558" w:hanging="361"/>
              <w:jc w:val="left"/>
              <w:rPr>
                <w:sz w:val="22"/>
              </w:rPr>
            </w:pPr>
            <w:r>
              <w:rPr>
                <w:sz w:val="22"/>
              </w:rPr>
              <w:t>Recorded vulnerable adult crimes rose in 2019 but plateaued through the pandemic and have stayed around similar levels since all COVID restrictions were</w:t>
            </w:r>
            <w:r>
              <w:rPr>
                <w:spacing w:val="-3"/>
                <w:sz w:val="22"/>
              </w:rPr>
              <w:t> </w:t>
            </w:r>
            <w:r>
              <w:rPr>
                <w:sz w:val="22"/>
              </w:rPr>
              <w:t>lifted.</w:t>
            </w:r>
          </w:p>
          <w:p>
            <w:pPr>
              <w:pStyle w:val="TableParagraph"/>
              <w:numPr>
                <w:ilvl w:val="0"/>
                <w:numId w:val="15"/>
              </w:numPr>
              <w:tabs>
                <w:tab w:pos="469" w:val="left" w:leader="none"/>
              </w:tabs>
              <w:spacing w:line="240" w:lineRule="auto" w:before="0" w:after="0"/>
              <w:ind w:left="468" w:right="715" w:hanging="361"/>
              <w:jc w:val="both"/>
              <w:rPr>
                <w:sz w:val="22"/>
              </w:rPr>
            </w:pPr>
            <w:r>
              <w:rPr>
                <w:sz w:val="22"/>
              </w:rPr>
              <w:t>NYP is a member of the Adult Safeguarding Partnerships across both local authorities and these have responsibility for overseeing the strategic and operational response to Safeguarding</w:t>
            </w:r>
            <w:r>
              <w:rPr>
                <w:spacing w:val="-1"/>
                <w:sz w:val="22"/>
              </w:rPr>
              <w:t> </w:t>
            </w:r>
            <w:r>
              <w:rPr>
                <w:sz w:val="22"/>
              </w:rPr>
              <w:t>Adults.</w:t>
            </w:r>
          </w:p>
          <w:p>
            <w:pPr>
              <w:pStyle w:val="TableParagraph"/>
              <w:numPr>
                <w:ilvl w:val="0"/>
                <w:numId w:val="15"/>
              </w:numPr>
              <w:tabs>
                <w:tab w:pos="468" w:val="left" w:leader="none"/>
                <w:tab w:pos="469" w:val="left" w:leader="none"/>
              </w:tabs>
              <w:spacing w:line="240" w:lineRule="auto" w:before="0" w:after="0"/>
              <w:ind w:left="468" w:right="101" w:hanging="361"/>
              <w:jc w:val="left"/>
              <w:rPr>
                <w:sz w:val="22"/>
              </w:rPr>
            </w:pPr>
            <w:r>
              <w:rPr>
                <w:sz w:val="22"/>
              </w:rPr>
              <w:t>North Yorkshire Council are covered by MAST and City of York by the MASH who jointly screen adult referrals with adult social</w:t>
            </w:r>
            <w:r>
              <w:rPr>
                <w:spacing w:val="-8"/>
                <w:sz w:val="22"/>
              </w:rPr>
              <w:t> </w:t>
            </w:r>
            <w:r>
              <w:rPr>
                <w:sz w:val="22"/>
              </w:rPr>
              <w:t>care.</w:t>
            </w:r>
          </w:p>
          <w:p>
            <w:pPr>
              <w:pStyle w:val="TableParagraph"/>
              <w:numPr>
                <w:ilvl w:val="0"/>
                <w:numId w:val="15"/>
              </w:numPr>
              <w:tabs>
                <w:tab w:pos="468" w:val="left" w:leader="none"/>
                <w:tab w:pos="469" w:val="left" w:leader="none"/>
              </w:tabs>
              <w:spacing w:line="240" w:lineRule="auto" w:before="0" w:after="0"/>
              <w:ind w:left="468" w:right="135" w:hanging="361"/>
              <w:jc w:val="left"/>
              <w:rPr>
                <w:sz w:val="22"/>
              </w:rPr>
            </w:pPr>
            <w:r>
              <w:rPr>
                <w:sz w:val="22"/>
              </w:rPr>
              <w:t>The Missing and Exploitation Team MHET currently have a wide portfolio, which includes adult exploitation and vulnerable adults, however due to demand pressures they have limited capacity to conduct proactive</w:t>
            </w:r>
            <w:r>
              <w:rPr>
                <w:spacing w:val="-10"/>
                <w:sz w:val="22"/>
              </w:rPr>
              <w:t> </w:t>
            </w:r>
            <w:r>
              <w:rPr>
                <w:sz w:val="22"/>
              </w:rPr>
              <w:t>work.</w:t>
            </w:r>
          </w:p>
          <w:p>
            <w:pPr>
              <w:pStyle w:val="TableParagraph"/>
              <w:numPr>
                <w:ilvl w:val="0"/>
                <w:numId w:val="15"/>
              </w:numPr>
              <w:tabs>
                <w:tab w:pos="469" w:val="left" w:leader="none"/>
              </w:tabs>
              <w:spacing w:line="268" w:lineRule="exact" w:before="4" w:after="0"/>
              <w:ind w:left="468" w:right="596" w:hanging="360"/>
              <w:jc w:val="both"/>
              <w:rPr>
                <w:sz w:val="22"/>
              </w:rPr>
            </w:pPr>
            <w:r>
              <w:rPr>
                <w:sz w:val="22"/>
              </w:rPr>
              <w:t>As part of the review of the structure of the NYP centralised Safeguarding teams, an uplift for a small adult exploitation team within the Missing and Exploited Team is proposed (1 Sergeant, 2 PCs Adult Exploitation and 2</w:t>
            </w:r>
            <w:r>
              <w:rPr>
                <w:spacing w:val="-27"/>
                <w:sz w:val="22"/>
              </w:rPr>
              <w:t> </w:t>
            </w:r>
            <w:r>
              <w:rPr>
                <w:sz w:val="22"/>
              </w:rPr>
              <w:t>PCs</w:t>
            </w:r>
          </w:p>
        </w:tc>
      </w:tr>
    </w:tbl>
    <w:p>
      <w:pPr>
        <w:spacing w:after="0" w:line="268" w:lineRule="exact"/>
        <w:jc w:val="both"/>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7769"/>
      </w:tblGrid>
      <w:tr>
        <w:trPr>
          <w:trHeight w:val="736" w:hRule="atLeast"/>
        </w:trPr>
        <w:tc>
          <w:tcPr>
            <w:tcW w:w="1723" w:type="dxa"/>
          </w:tcPr>
          <w:p>
            <w:pPr>
              <w:pStyle w:val="TableParagraph"/>
              <w:rPr>
                <w:rFonts w:ascii="Times New Roman"/>
                <w:sz w:val="22"/>
              </w:rPr>
            </w:pPr>
          </w:p>
        </w:tc>
        <w:tc>
          <w:tcPr>
            <w:tcW w:w="7769" w:type="dxa"/>
          </w:tcPr>
          <w:p>
            <w:pPr>
              <w:pStyle w:val="TableParagraph"/>
              <w:ind w:left="468" w:right="108"/>
              <w:rPr>
                <w:sz w:val="22"/>
              </w:rPr>
            </w:pPr>
            <w:r>
              <w:rPr>
                <w:sz w:val="22"/>
              </w:rPr>
              <w:t>Missing Adults) along with the creation of an adult MASH (1 Sergeant and 2 PCs) that would deliver across both Local Authorities.</w:t>
            </w:r>
          </w:p>
        </w:tc>
      </w:tr>
      <w:tr>
        <w:trPr>
          <w:trHeight w:val="9669" w:hRule="atLeast"/>
        </w:trPr>
        <w:tc>
          <w:tcPr>
            <w:tcW w:w="1723" w:type="dxa"/>
          </w:tcPr>
          <w:p>
            <w:pPr>
              <w:pStyle w:val="TableParagraph"/>
              <w:ind w:left="107" w:right="416"/>
              <w:rPr>
                <w:sz w:val="22"/>
              </w:rPr>
            </w:pPr>
            <w:r>
              <w:rPr>
                <w:sz w:val="22"/>
              </w:rPr>
              <w:t>6b. Child Safeguarding</w:t>
            </w:r>
          </w:p>
          <w:p>
            <w:pPr>
              <w:pStyle w:val="TableParagraph"/>
              <w:spacing w:before="11" w:after="1"/>
              <w:rPr>
                <w:sz w:val="21"/>
              </w:rPr>
            </w:pPr>
          </w:p>
          <w:p>
            <w:pPr>
              <w:pStyle w:val="TableParagraph"/>
              <w:ind w:left="256"/>
              <w:rPr>
                <w:sz w:val="20"/>
              </w:rPr>
            </w:pPr>
            <w:r>
              <w:rPr>
                <w:sz w:val="20"/>
              </w:rPr>
              <w:drawing>
                <wp:inline distT="0" distB="0" distL="0" distR="0">
                  <wp:extent cx="683132" cy="683132"/>
                  <wp:effectExtent l="0" t="0" r="0" b="0"/>
                  <wp:docPr id="23" name="image22.png"/>
                  <wp:cNvGraphicFramePr>
                    <a:graphicFrameLocks noChangeAspect="1"/>
                  </wp:cNvGraphicFramePr>
                  <a:graphic>
                    <a:graphicData uri="http://schemas.openxmlformats.org/drawingml/2006/picture">
                      <pic:pic>
                        <pic:nvPicPr>
                          <pic:cNvPr id="24" name="image22.png"/>
                          <pic:cNvPicPr/>
                        </pic:nvPicPr>
                        <pic:blipFill>
                          <a:blip r:embed="rId29"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17"/>
              </w:rPr>
            </w:pPr>
          </w:p>
        </w:tc>
        <w:tc>
          <w:tcPr>
            <w:tcW w:w="7769" w:type="dxa"/>
          </w:tcPr>
          <w:p>
            <w:pPr>
              <w:pStyle w:val="TableParagraph"/>
              <w:numPr>
                <w:ilvl w:val="0"/>
                <w:numId w:val="16"/>
              </w:numPr>
              <w:tabs>
                <w:tab w:pos="467" w:val="left" w:leader="none"/>
                <w:tab w:pos="468" w:val="left" w:leader="none"/>
              </w:tabs>
              <w:spacing w:line="240" w:lineRule="auto" w:before="0" w:after="0"/>
              <w:ind w:left="467" w:right="125" w:hanging="360"/>
              <w:jc w:val="left"/>
              <w:rPr>
                <w:sz w:val="22"/>
              </w:rPr>
            </w:pPr>
            <w:r>
              <w:rPr>
                <w:sz w:val="22"/>
              </w:rPr>
              <w:t>Current trend analysis has, in general, shown an upward trend in crime reporting but a relatively static picture in relation to reported Child Sexual Exploitation/CSA crimes. However, heightened awareness, complexity and improved multi-agency approach in relation to these crimes means that demand, in terms of the impact on capacity and capability, has increased. This is demonstrated by the increased trend in Public Protection Notice (PPN) submissions from North Yorkshire Police. In addition, North Yorkshire Council – Safeguarding Children’s Board identified that an emerging trend of increased demand over the first few months of 2022/23 is now</w:t>
            </w:r>
            <w:r>
              <w:rPr>
                <w:spacing w:val="-16"/>
                <w:sz w:val="22"/>
              </w:rPr>
              <w:t> </w:t>
            </w:r>
            <w:r>
              <w:rPr>
                <w:sz w:val="22"/>
              </w:rPr>
              <w:t>entrenched.</w:t>
            </w:r>
          </w:p>
          <w:p>
            <w:pPr>
              <w:pStyle w:val="TableParagraph"/>
              <w:numPr>
                <w:ilvl w:val="0"/>
                <w:numId w:val="16"/>
              </w:numPr>
              <w:tabs>
                <w:tab w:pos="468" w:val="left" w:leader="none"/>
                <w:tab w:pos="469" w:val="left" w:leader="none"/>
              </w:tabs>
              <w:spacing w:line="240" w:lineRule="auto" w:before="0" w:after="0"/>
              <w:ind w:left="468" w:right="628" w:hanging="361"/>
              <w:jc w:val="left"/>
              <w:rPr>
                <w:sz w:val="22"/>
              </w:rPr>
            </w:pPr>
            <w:r>
              <w:rPr>
                <w:sz w:val="22"/>
              </w:rPr>
              <w:t>The force was subject of a National Child Protection Inspection (NCPI) in November 2021 and a subsequent post-inspection review in 2022. A comprehensive action plan is in place to drive the required</w:t>
            </w:r>
            <w:r>
              <w:rPr>
                <w:spacing w:val="-26"/>
                <w:sz w:val="22"/>
              </w:rPr>
              <w:t> </w:t>
            </w:r>
            <w:r>
              <w:rPr>
                <w:sz w:val="22"/>
              </w:rPr>
              <w:t>improvements.</w:t>
            </w:r>
          </w:p>
          <w:p>
            <w:pPr>
              <w:pStyle w:val="TableParagraph"/>
              <w:numPr>
                <w:ilvl w:val="0"/>
                <w:numId w:val="16"/>
              </w:numPr>
              <w:tabs>
                <w:tab w:pos="468" w:val="left" w:leader="none"/>
                <w:tab w:pos="469" w:val="left" w:leader="none"/>
              </w:tabs>
              <w:spacing w:line="240" w:lineRule="auto" w:before="0" w:after="0"/>
              <w:ind w:left="467" w:right="208" w:hanging="360"/>
              <w:jc w:val="left"/>
              <w:rPr>
                <w:sz w:val="22"/>
              </w:rPr>
            </w:pPr>
            <w:r>
              <w:rPr>
                <w:sz w:val="22"/>
              </w:rPr>
              <w:t>During 2022 following the initial NCPI report, NYP implemented a number of actions which have resulted in improvements to both the quality and quantity of Public Protection Notices (PPN) being submitted to multi-agency assessment Teams - the MAST / MASH. This resulted in an increase in referrals (as seen in Step 1), and an improvement in the quality, particularly in respect of capturing the Voice of the Child in these</w:t>
            </w:r>
            <w:r>
              <w:rPr>
                <w:spacing w:val="-5"/>
                <w:sz w:val="22"/>
              </w:rPr>
              <w:t> </w:t>
            </w:r>
            <w:r>
              <w:rPr>
                <w:sz w:val="22"/>
              </w:rPr>
              <w:t>referrals.</w:t>
            </w:r>
          </w:p>
          <w:p>
            <w:pPr>
              <w:pStyle w:val="TableParagraph"/>
              <w:numPr>
                <w:ilvl w:val="0"/>
                <w:numId w:val="16"/>
              </w:numPr>
              <w:tabs>
                <w:tab w:pos="467" w:val="left" w:leader="none"/>
                <w:tab w:pos="468" w:val="left" w:leader="none"/>
              </w:tabs>
              <w:spacing w:line="240" w:lineRule="auto" w:before="0" w:after="0"/>
              <w:ind w:left="467" w:right="276" w:hanging="360"/>
              <w:jc w:val="left"/>
              <w:rPr>
                <w:sz w:val="22"/>
              </w:rPr>
            </w:pPr>
            <w:r>
              <w:rPr>
                <w:sz w:val="22"/>
              </w:rPr>
              <w:t>The key functions in the safeguarding of children are the Multi-Agency Safeguarding Team (MAST) and Multi-Agency Safeguarding Hub (MASH) which ensure “live” joint screening of all referrals to Children’s Social Care and in addition to provide resources to support</w:t>
            </w:r>
            <w:r>
              <w:rPr>
                <w:spacing w:val="-2"/>
                <w:sz w:val="22"/>
              </w:rPr>
              <w:t> </w:t>
            </w:r>
            <w:r>
              <w:rPr>
                <w:sz w:val="22"/>
              </w:rPr>
              <w:t>it.</w:t>
            </w:r>
          </w:p>
          <w:p>
            <w:pPr>
              <w:pStyle w:val="TableParagraph"/>
              <w:numPr>
                <w:ilvl w:val="0"/>
                <w:numId w:val="16"/>
              </w:numPr>
              <w:tabs>
                <w:tab w:pos="467" w:val="left" w:leader="none"/>
                <w:tab w:pos="468" w:val="left" w:leader="none"/>
              </w:tabs>
              <w:spacing w:line="240" w:lineRule="auto" w:before="0" w:after="0"/>
              <w:ind w:left="467" w:right="158" w:hanging="361"/>
              <w:jc w:val="left"/>
              <w:rPr>
                <w:sz w:val="22"/>
              </w:rPr>
            </w:pPr>
            <w:r>
              <w:rPr>
                <w:sz w:val="22"/>
              </w:rPr>
              <w:t>Due to the improvements required following the NCPI post-inspection review in Dec 2022 and the subsequent increased demand, a capacity issue has arisen in the Vulnerability Assessment Team who are now required to undertake additional assessment work. An uplift in resources was agreed and is underway during the Spring of</w:t>
            </w:r>
            <w:r>
              <w:rPr>
                <w:spacing w:val="-4"/>
                <w:sz w:val="22"/>
              </w:rPr>
              <w:t> </w:t>
            </w:r>
            <w:r>
              <w:rPr>
                <w:sz w:val="22"/>
              </w:rPr>
              <w:t>2023.</w:t>
            </w:r>
          </w:p>
          <w:p>
            <w:pPr>
              <w:pStyle w:val="TableParagraph"/>
              <w:numPr>
                <w:ilvl w:val="0"/>
                <w:numId w:val="16"/>
              </w:numPr>
              <w:tabs>
                <w:tab w:pos="468" w:val="left" w:leader="none"/>
                <w:tab w:pos="469" w:val="left" w:leader="none"/>
              </w:tabs>
              <w:spacing w:line="240" w:lineRule="auto" w:before="0" w:after="0"/>
              <w:ind w:left="468" w:right="128" w:hanging="361"/>
              <w:jc w:val="left"/>
              <w:rPr>
                <w:sz w:val="22"/>
              </w:rPr>
            </w:pPr>
            <w:r>
              <w:rPr>
                <w:sz w:val="22"/>
              </w:rPr>
              <w:t>In both February and April 2023, in response to NCPI and the force’s own demand modelling, further uplifts were approved across a number of safeguarding functions; including 5 PCs increasing the capacity of the Vulnerability Assessment Team, 1 PC and 1 FTE Police Staff MAST Support Officers to support greater information sharing with schools regarding Domestic Abuse (Op Encompass), 1 Research and Report Writer, 6 PC’s for the Child Exploitation Team and 2 additional PC’s to strengthen the approach to Missing Children.</w:t>
            </w:r>
          </w:p>
        </w:tc>
      </w:tr>
      <w:tr>
        <w:trPr>
          <w:trHeight w:val="4086" w:hRule="atLeast"/>
        </w:trPr>
        <w:tc>
          <w:tcPr>
            <w:tcW w:w="1723" w:type="dxa"/>
          </w:tcPr>
          <w:p>
            <w:pPr>
              <w:pStyle w:val="TableParagraph"/>
              <w:ind w:left="107" w:right="436"/>
              <w:rPr>
                <w:sz w:val="22"/>
              </w:rPr>
            </w:pPr>
            <w:r>
              <w:rPr>
                <w:sz w:val="22"/>
              </w:rPr>
              <w:t>6c. Domestic Abuse</w:t>
            </w:r>
          </w:p>
          <w:p>
            <w:pPr>
              <w:pStyle w:val="TableParagraph"/>
              <w:rPr>
                <w:sz w:val="22"/>
              </w:rPr>
            </w:pPr>
          </w:p>
          <w:p>
            <w:pPr>
              <w:pStyle w:val="TableParagraph"/>
              <w:ind w:left="256"/>
              <w:rPr>
                <w:sz w:val="20"/>
              </w:rPr>
            </w:pPr>
            <w:r>
              <w:rPr>
                <w:sz w:val="20"/>
              </w:rPr>
              <w:drawing>
                <wp:inline distT="0" distB="0" distL="0" distR="0">
                  <wp:extent cx="683132" cy="683132"/>
                  <wp:effectExtent l="0" t="0" r="0" b="0"/>
                  <wp:docPr id="25" name="image22.png"/>
                  <wp:cNvGraphicFramePr>
                    <a:graphicFrameLocks noChangeAspect="1"/>
                  </wp:cNvGraphicFramePr>
                  <a:graphic>
                    <a:graphicData uri="http://schemas.openxmlformats.org/drawingml/2006/picture">
                      <pic:pic>
                        <pic:nvPicPr>
                          <pic:cNvPr id="26" name="image22.png"/>
                          <pic:cNvPicPr/>
                        </pic:nvPicPr>
                        <pic:blipFill>
                          <a:blip r:embed="rId29"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0"/>
              </w:rPr>
            </w:pPr>
          </w:p>
        </w:tc>
        <w:tc>
          <w:tcPr>
            <w:tcW w:w="7769" w:type="dxa"/>
          </w:tcPr>
          <w:p>
            <w:pPr>
              <w:pStyle w:val="TableParagraph"/>
              <w:numPr>
                <w:ilvl w:val="0"/>
                <w:numId w:val="17"/>
              </w:numPr>
              <w:tabs>
                <w:tab w:pos="467" w:val="left" w:leader="none"/>
                <w:tab w:pos="468" w:val="left" w:leader="none"/>
              </w:tabs>
              <w:spacing w:line="240" w:lineRule="auto" w:before="0" w:after="0"/>
              <w:ind w:left="468" w:right="283" w:hanging="360"/>
              <w:jc w:val="left"/>
              <w:rPr>
                <w:sz w:val="22"/>
              </w:rPr>
            </w:pPr>
            <w:r>
              <w:rPr>
                <w:sz w:val="22"/>
              </w:rPr>
              <w:t>Over the next 4 years it is projected that reporting of Domestic Abuse related crime will rise by around 1090 – 1120 offences per annum from 2022 levels. In relation to crime types, violence was still the predominate crime (82.4%) and alongside sexual</w:t>
            </w:r>
            <w:r>
              <w:rPr>
                <w:spacing w:val="-3"/>
                <w:sz w:val="22"/>
              </w:rPr>
              <w:t> </w:t>
            </w:r>
            <w:r>
              <w:rPr>
                <w:sz w:val="22"/>
              </w:rPr>
              <w:t>offences.</w:t>
            </w:r>
          </w:p>
          <w:p>
            <w:pPr>
              <w:pStyle w:val="TableParagraph"/>
              <w:numPr>
                <w:ilvl w:val="0"/>
                <w:numId w:val="17"/>
              </w:numPr>
              <w:tabs>
                <w:tab w:pos="468" w:val="left" w:leader="none"/>
                <w:tab w:pos="469" w:val="left" w:leader="none"/>
              </w:tabs>
              <w:spacing w:line="240" w:lineRule="auto" w:before="0" w:after="0"/>
              <w:ind w:left="468" w:right="714" w:hanging="361"/>
              <w:jc w:val="left"/>
              <w:rPr>
                <w:sz w:val="22"/>
              </w:rPr>
            </w:pPr>
            <w:r>
              <w:rPr>
                <w:sz w:val="22"/>
              </w:rPr>
              <w:t>Collectively over the last 7 years 51% of crimes are from a victim who</w:t>
            </w:r>
            <w:r>
              <w:rPr>
                <w:spacing w:val="-33"/>
                <w:sz w:val="22"/>
              </w:rPr>
              <w:t> </w:t>
            </w:r>
            <w:r>
              <w:rPr>
                <w:sz w:val="22"/>
              </w:rPr>
              <w:t>had previously reported domestic</w:t>
            </w:r>
            <w:r>
              <w:rPr>
                <w:spacing w:val="-1"/>
                <w:sz w:val="22"/>
              </w:rPr>
              <w:t> </w:t>
            </w:r>
            <w:r>
              <w:rPr>
                <w:sz w:val="22"/>
              </w:rPr>
              <w:t>abuse.</w:t>
            </w:r>
          </w:p>
          <w:p>
            <w:pPr>
              <w:pStyle w:val="TableParagraph"/>
              <w:numPr>
                <w:ilvl w:val="0"/>
                <w:numId w:val="17"/>
              </w:numPr>
              <w:tabs>
                <w:tab w:pos="468" w:val="left" w:leader="none"/>
                <w:tab w:pos="469" w:val="left" w:leader="none"/>
              </w:tabs>
              <w:spacing w:line="240" w:lineRule="auto" w:before="0" w:after="0"/>
              <w:ind w:left="468" w:right="102" w:hanging="361"/>
              <w:jc w:val="left"/>
              <w:rPr>
                <w:sz w:val="22"/>
              </w:rPr>
            </w:pPr>
            <w:r>
              <w:rPr>
                <w:sz w:val="22"/>
              </w:rPr>
              <w:t>The force has seen a continued increase in the number of MARACs held with the volume more than doubling in the last five</w:t>
            </w:r>
            <w:r>
              <w:rPr>
                <w:spacing w:val="-9"/>
                <w:sz w:val="22"/>
              </w:rPr>
              <w:t> </w:t>
            </w:r>
            <w:r>
              <w:rPr>
                <w:sz w:val="22"/>
              </w:rPr>
              <w:t>years.</w:t>
            </w:r>
          </w:p>
          <w:p>
            <w:pPr>
              <w:pStyle w:val="TableParagraph"/>
              <w:numPr>
                <w:ilvl w:val="0"/>
                <w:numId w:val="17"/>
              </w:numPr>
              <w:tabs>
                <w:tab w:pos="468" w:val="left" w:leader="none"/>
                <w:tab w:pos="469" w:val="left" w:leader="none"/>
              </w:tabs>
              <w:spacing w:line="240" w:lineRule="auto" w:before="0" w:after="0"/>
              <w:ind w:left="467" w:right="175" w:hanging="360"/>
              <w:jc w:val="left"/>
              <w:rPr>
                <w:sz w:val="22"/>
              </w:rPr>
            </w:pPr>
            <w:r>
              <w:rPr>
                <w:sz w:val="22"/>
              </w:rPr>
              <w:t>The victim has the right to choose not to support the police in taking further action and the majority (70.3%) of domestic abuse crime are closed as outcome 16 (Evidential difficulties prevent further action; victim doesn’t support police action).</w:t>
            </w:r>
          </w:p>
          <w:p>
            <w:pPr>
              <w:pStyle w:val="TableParagraph"/>
              <w:numPr>
                <w:ilvl w:val="0"/>
                <w:numId w:val="17"/>
              </w:numPr>
              <w:tabs>
                <w:tab w:pos="469" w:val="left" w:leader="none"/>
              </w:tabs>
              <w:spacing w:line="268" w:lineRule="exact" w:before="5" w:after="0"/>
              <w:ind w:left="468" w:right="195" w:hanging="360"/>
              <w:jc w:val="both"/>
              <w:rPr>
                <w:sz w:val="22"/>
              </w:rPr>
            </w:pPr>
            <w:r>
              <w:rPr>
                <w:sz w:val="22"/>
              </w:rPr>
              <w:t>Domestic Violence Disclosures (DVDs) are showing an increase over time with a significant increase in 2022 of 49% for ‘right to ask’ and 45% for ‘right to know’ when compared with</w:t>
            </w:r>
            <w:r>
              <w:rPr>
                <w:spacing w:val="-4"/>
                <w:sz w:val="22"/>
              </w:rPr>
              <w:t> </w:t>
            </w:r>
            <w:r>
              <w:rPr>
                <w:sz w:val="22"/>
              </w:rPr>
              <w:t>2021.</w:t>
            </w:r>
          </w:p>
        </w:tc>
      </w:tr>
    </w:tbl>
    <w:p>
      <w:pPr>
        <w:spacing w:after="0" w:line="268" w:lineRule="exact"/>
        <w:jc w:val="both"/>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7769"/>
      </w:tblGrid>
      <w:tr>
        <w:trPr>
          <w:trHeight w:val="2704" w:hRule="atLeast"/>
        </w:trPr>
        <w:tc>
          <w:tcPr>
            <w:tcW w:w="1723" w:type="dxa"/>
          </w:tcPr>
          <w:p>
            <w:pPr>
              <w:pStyle w:val="TableParagraph"/>
              <w:rPr>
                <w:rFonts w:ascii="Times New Roman"/>
                <w:sz w:val="22"/>
              </w:rPr>
            </w:pPr>
          </w:p>
        </w:tc>
        <w:tc>
          <w:tcPr>
            <w:tcW w:w="7769" w:type="dxa"/>
          </w:tcPr>
          <w:p>
            <w:pPr>
              <w:pStyle w:val="TableParagraph"/>
              <w:numPr>
                <w:ilvl w:val="0"/>
                <w:numId w:val="18"/>
              </w:numPr>
              <w:tabs>
                <w:tab w:pos="467" w:val="left" w:leader="none"/>
                <w:tab w:pos="468" w:val="left" w:leader="none"/>
              </w:tabs>
              <w:spacing w:line="240" w:lineRule="auto" w:before="0" w:after="0"/>
              <w:ind w:left="468" w:right="791" w:hanging="360"/>
              <w:jc w:val="left"/>
              <w:rPr>
                <w:sz w:val="22"/>
              </w:rPr>
            </w:pPr>
            <w:r>
              <w:rPr>
                <w:sz w:val="22"/>
              </w:rPr>
              <w:t>NYP has a bespoke domestic abuse control strategy tactical plan which is scrutinised through the Vulnerability</w:t>
            </w:r>
            <w:r>
              <w:rPr>
                <w:spacing w:val="-2"/>
                <w:sz w:val="22"/>
              </w:rPr>
              <w:t> </w:t>
            </w:r>
            <w:r>
              <w:rPr>
                <w:sz w:val="22"/>
              </w:rPr>
              <w:t>Board.</w:t>
            </w:r>
          </w:p>
          <w:p>
            <w:pPr>
              <w:pStyle w:val="TableParagraph"/>
              <w:numPr>
                <w:ilvl w:val="0"/>
                <w:numId w:val="18"/>
              </w:numPr>
              <w:tabs>
                <w:tab w:pos="468" w:val="left" w:leader="none"/>
                <w:tab w:pos="469" w:val="left" w:leader="none"/>
              </w:tabs>
              <w:spacing w:line="240" w:lineRule="auto" w:before="0" w:after="0"/>
              <w:ind w:left="468" w:right="293" w:hanging="361"/>
              <w:jc w:val="left"/>
              <w:rPr>
                <w:sz w:val="22"/>
              </w:rPr>
            </w:pPr>
            <w:r>
              <w:rPr>
                <w:sz w:val="22"/>
              </w:rPr>
              <w:t>The increase in DA demand following the pandemic and the forecast increases in DA related crime requires an uplift in resources to support the effective investigation and safeguarding to DA victims and</w:t>
            </w:r>
            <w:r>
              <w:rPr>
                <w:spacing w:val="-7"/>
                <w:sz w:val="22"/>
              </w:rPr>
              <w:t> </w:t>
            </w:r>
            <w:r>
              <w:rPr>
                <w:sz w:val="22"/>
              </w:rPr>
              <w:t>families.</w:t>
            </w:r>
          </w:p>
          <w:p>
            <w:pPr>
              <w:pStyle w:val="TableParagraph"/>
              <w:numPr>
                <w:ilvl w:val="0"/>
                <w:numId w:val="18"/>
              </w:numPr>
              <w:tabs>
                <w:tab w:pos="468" w:val="left" w:leader="none"/>
                <w:tab w:pos="469" w:val="left" w:leader="none"/>
              </w:tabs>
              <w:spacing w:line="240" w:lineRule="auto" w:before="0" w:after="0"/>
              <w:ind w:left="468" w:right="169" w:hanging="361"/>
              <w:jc w:val="left"/>
              <w:rPr>
                <w:sz w:val="22"/>
              </w:rPr>
            </w:pPr>
            <w:r>
              <w:rPr>
                <w:sz w:val="22"/>
              </w:rPr>
              <w:t>In January 2023, an uplift was approved across a number of safeguarding teams including domestic abuse. This included roles supporting Multi Agency Tasking and Coordination, Domestic Violence Protection Orders, Research and Report Officers and additional administrative</w:t>
            </w:r>
            <w:r>
              <w:rPr>
                <w:spacing w:val="-6"/>
                <w:sz w:val="22"/>
              </w:rPr>
              <w:t> </w:t>
            </w:r>
            <w:r>
              <w:rPr>
                <w:sz w:val="22"/>
              </w:rPr>
              <w:t>support.</w:t>
            </w:r>
          </w:p>
        </w:tc>
      </w:tr>
      <w:tr>
        <w:trPr>
          <w:trHeight w:val="2382" w:hRule="atLeast"/>
        </w:trPr>
        <w:tc>
          <w:tcPr>
            <w:tcW w:w="1723" w:type="dxa"/>
          </w:tcPr>
          <w:p>
            <w:pPr>
              <w:pStyle w:val="TableParagraph"/>
              <w:ind w:left="107" w:right="420"/>
              <w:rPr>
                <w:sz w:val="22"/>
              </w:rPr>
            </w:pPr>
            <w:r>
              <w:rPr>
                <w:sz w:val="22"/>
              </w:rPr>
              <w:t>6d. HBA, FM, FGM</w:t>
            </w:r>
          </w:p>
          <w:p>
            <w:pPr>
              <w:pStyle w:val="TableParagraph"/>
              <w:spacing w:before="11" w:after="1"/>
              <w:rPr>
                <w:sz w:val="21"/>
              </w:rPr>
            </w:pPr>
          </w:p>
          <w:p>
            <w:pPr>
              <w:pStyle w:val="TableParagraph"/>
              <w:ind w:left="256"/>
              <w:rPr>
                <w:sz w:val="20"/>
              </w:rPr>
            </w:pPr>
            <w:r>
              <w:rPr>
                <w:sz w:val="20"/>
              </w:rPr>
              <w:drawing>
                <wp:inline distT="0" distB="0" distL="0" distR="0">
                  <wp:extent cx="683142" cy="683132"/>
                  <wp:effectExtent l="0" t="0" r="0" b="0"/>
                  <wp:docPr id="27" name="image22.png"/>
                  <wp:cNvGraphicFramePr>
                    <a:graphicFrameLocks noChangeAspect="1"/>
                  </wp:cNvGraphicFramePr>
                  <a:graphic>
                    <a:graphicData uri="http://schemas.openxmlformats.org/drawingml/2006/picture">
                      <pic:pic>
                        <pic:nvPicPr>
                          <pic:cNvPr id="28" name="image22.png"/>
                          <pic:cNvPicPr/>
                        </pic:nvPicPr>
                        <pic:blipFill>
                          <a:blip r:embed="rId29" cstate="print"/>
                          <a:stretch>
                            <a:fillRect/>
                          </a:stretch>
                        </pic:blipFill>
                        <pic:spPr>
                          <a:xfrm>
                            <a:off x="0" y="0"/>
                            <a:ext cx="683142" cy="683132"/>
                          </a:xfrm>
                          <a:prstGeom prst="rect">
                            <a:avLst/>
                          </a:prstGeom>
                        </pic:spPr>
                      </pic:pic>
                    </a:graphicData>
                  </a:graphic>
                </wp:inline>
              </w:drawing>
            </w:r>
            <w:r>
              <w:rPr>
                <w:sz w:val="20"/>
              </w:rPr>
            </w:r>
          </w:p>
          <w:p>
            <w:pPr>
              <w:pStyle w:val="TableParagraph"/>
              <w:rPr>
                <w:sz w:val="20"/>
              </w:rPr>
            </w:pPr>
          </w:p>
          <w:p>
            <w:pPr>
              <w:pStyle w:val="TableParagraph"/>
              <w:rPr>
                <w:sz w:val="21"/>
              </w:rPr>
            </w:pPr>
          </w:p>
        </w:tc>
        <w:tc>
          <w:tcPr>
            <w:tcW w:w="7769" w:type="dxa"/>
          </w:tcPr>
          <w:p>
            <w:pPr>
              <w:pStyle w:val="TableParagraph"/>
              <w:numPr>
                <w:ilvl w:val="0"/>
                <w:numId w:val="19"/>
              </w:numPr>
              <w:tabs>
                <w:tab w:pos="467" w:val="left" w:leader="none"/>
                <w:tab w:pos="468" w:val="left" w:leader="none"/>
              </w:tabs>
              <w:spacing w:line="240" w:lineRule="auto" w:before="0" w:after="0"/>
              <w:ind w:left="468" w:right="215" w:hanging="360"/>
              <w:jc w:val="left"/>
              <w:rPr>
                <w:sz w:val="22"/>
              </w:rPr>
            </w:pPr>
            <w:r>
              <w:rPr>
                <w:sz w:val="22"/>
              </w:rPr>
              <w:t>Since 2016 there have been a very low number of crimes/incidents of Female Genital Mutilation or honour-based violence or abuse crimes reported in North Yorkshire.</w:t>
            </w:r>
          </w:p>
          <w:p>
            <w:pPr>
              <w:pStyle w:val="TableParagraph"/>
              <w:numPr>
                <w:ilvl w:val="0"/>
                <w:numId w:val="19"/>
              </w:numPr>
              <w:tabs>
                <w:tab w:pos="468" w:val="left" w:leader="none"/>
                <w:tab w:pos="469" w:val="left" w:leader="none"/>
              </w:tabs>
              <w:spacing w:line="240" w:lineRule="auto" w:before="0" w:after="0"/>
              <w:ind w:left="468" w:right="149" w:hanging="361"/>
              <w:jc w:val="left"/>
              <w:rPr>
                <w:sz w:val="22"/>
              </w:rPr>
            </w:pPr>
            <w:r>
              <w:rPr>
                <w:sz w:val="22"/>
              </w:rPr>
              <w:t>NYP does not have a bespoke team that delivers a service to tackle HBA/V, FGM and</w:t>
            </w:r>
            <w:r>
              <w:rPr>
                <w:spacing w:val="-1"/>
                <w:sz w:val="22"/>
              </w:rPr>
              <w:t> </w:t>
            </w:r>
            <w:r>
              <w:rPr>
                <w:sz w:val="22"/>
              </w:rPr>
              <w:t>FM.</w:t>
            </w:r>
          </w:p>
          <w:p>
            <w:pPr>
              <w:pStyle w:val="TableParagraph"/>
              <w:numPr>
                <w:ilvl w:val="0"/>
                <w:numId w:val="19"/>
              </w:numPr>
              <w:tabs>
                <w:tab w:pos="468" w:val="left" w:leader="none"/>
                <w:tab w:pos="469" w:val="left" w:leader="none"/>
              </w:tabs>
              <w:spacing w:line="240" w:lineRule="auto" w:before="0" w:after="0"/>
              <w:ind w:left="468" w:right="232" w:hanging="361"/>
              <w:jc w:val="left"/>
              <w:rPr>
                <w:sz w:val="22"/>
              </w:rPr>
            </w:pPr>
            <w:r>
              <w:rPr>
                <w:sz w:val="22"/>
              </w:rPr>
              <w:t>Due to the volumes encountered in North Yorkshire no unmet demand is anticipated, but the force will remain vigilant, working with partners, to ensure victims are being properly identified and</w:t>
            </w:r>
            <w:r>
              <w:rPr>
                <w:spacing w:val="-5"/>
                <w:sz w:val="22"/>
              </w:rPr>
              <w:t> </w:t>
            </w:r>
            <w:r>
              <w:rPr>
                <w:sz w:val="22"/>
              </w:rPr>
              <w:t>supported.</w:t>
            </w:r>
          </w:p>
        </w:tc>
      </w:tr>
      <w:tr>
        <w:trPr>
          <w:trHeight w:val="4264" w:hRule="atLeast"/>
        </w:trPr>
        <w:tc>
          <w:tcPr>
            <w:tcW w:w="1723" w:type="dxa"/>
          </w:tcPr>
          <w:p>
            <w:pPr>
              <w:pStyle w:val="TableParagraph"/>
              <w:ind w:left="107" w:right="579"/>
              <w:rPr>
                <w:sz w:val="22"/>
              </w:rPr>
            </w:pPr>
            <w:r>
              <w:rPr>
                <w:sz w:val="22"/>
              </w:rPr>
              <w:t>6e. Missing Persons</w:t>
            </w:r>
          </w:p>
          <w:p>
            <w:pPr>
              <w:pStyle w:val="TableParagraph"/>
              <w:rPr>
                <w:sz w:val="22"/>
              </w:rPr>
            </w:pPr>
          </w:p>
          <w:p>
            <w:pPr>
              <w:pStyle w:val="TableParagraph"/>
              <w:ind w:left="256"/>
              <w:rPr>
                <w:sz w:val="20"/>
              </w:rPr>
            </w:pPr>
            <w:r>
              <w:rPr>
                <w:sz w:val="20"/>
              </w:rPr>
              <w:drawing>
                <wp:inline distT="0" distB="0" distL="0" distR="0">
                  <wp:extent cx="683142" cy="683133"/>
                  <wp:effectExtent l="0" t="0" r="0" b="0"/>
                  <wp:docPr id="29" name="image22.png"/>
                  <wp:cNvGraphicFramePr>
                    <a:graphicFrameLocks noChangeAspect="1"/>
                  </wp:cNvGraphicFramePr>
                  <a:graphic>
                    <a:graphicData uri="http://schemas.openxmlformats.org/drawingml/2006/picture">
                      <pic:pic>
                        <pic:nvPicPr>
                          <pic:cNvPr id="30" name="image22.png"/>
                          <pic:cNvPicPr/>
                        </pic:nvPicPr>
                        <pic:blipFill>
                          <a:blip r:embed="rId29" cstate="print"/>
                          <a:stretch>
                            <a:fillRect/>
                          </a:stretch>
                        </pic:blipFill>
                        <pic:spPr>
                          <a:xfrm>
                            <a:off x="0" y="0"/>
                            <a:ext cx="683142"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15"/>
              </w:rPr>
            </w:pPr>
          </w:p>
        </w:tc>
        <w:tc>
          <w:tcPr>
            <w:tcW w:w="7769" w:type="dxa"/>
          </w:tcPr>
          <w:p>
            <w:pPr>
              <w:pStyle w:val="TableParagraph"/>
              <w:numPr>
                <w:ilvl w:val="0"/>
                <w:numId w:val="20"/>
              </w:numPr>
              <w:tabs>
                <w:tab w:pos="467" w:val="left" w:leader="none"/>
                <w:tab w:pos="468" w:val="left" w:leader="none"/>
              </w:tabs>
              <w:spacing w:line="240" w:lineRule="auto" w:before="0" w:after="0"/>
              <w:ind w:left="468" w:right="138" w:hanging="360"/>
              <w:jc w:val="left"/>
              <w:rPr>
                <w:sz w:val="22"/>
              </w:rPr>
            </w:pPr>
            <w:r>
              <w:rPr>
                <w:sz w:val="22"/>
              </w:rPr>
              <w:t>Low risk: The risk of harm to the subject or the public is assessed as possible but minimal. Proportionate enquiries should be carried out to ensure that the individual has not come to</w:t>
            </w:r>
            <w:r>
              <w:rPr>
                <w:spacing w:val="-3"/>
                <w:sz w:val="22"/>
              </w:rPr>
              <w:t> </w:t>
            </w:r>
            <w:r>
              <w:rPr>
                <w:sz w:val="22"/>
              </w:rPr>
              <w:t>harm.</w:t>
            </w:r>
          </w:p>
          <w:p>
            <w:pPr>
              <w:pStyle w:val="TableParagraph"/>
              <w:numPr>
                <w:ilvl w:val="0"/>
                <w:numId w:val="20"/>
              </w:numPr>
              <w:tabs>
                <w:tab w:pos="468" w:val="left" w:leader="none"/>
                <w:tab w:pos="469" w:val="left" w:leader="none"/>
              </w:tabs>
              <w:spacing w:line="240" w:lineRule="auto" w:before="0" w:after="0"/>
              <w:ind w:left="468" w:right="194" w:hanging="361"/>
              <w:jc w:val="left"/>
              <w:rPr>
                <w:sz w:val="22"/>
              </w:rPr>
            </w:pPr>
            <w:r>
              <w:rPr>
                <w:sz w:val="22"/>
              </w:rPr>
              <w:t>Medium risk: The risk of harm to the subject or the public is assessed as likely but not serious. This category requires an active and measured response by the police and other agencies in order to trace the missing person and support the person</w:t>
            </w:r>
            <w:r>
              <w:rPr>
                <w:spacing w:val="-2"/>
                <w:sz w:val="22"/>
              </w:rPr>
              <w:t> </w:t>
            </w:r>
            <w:r>
              <w:rPr>
                <w:sz w:val="22"/>
              </w:rPr>
              <w:t>reporting.</w:t>
            </w:r>
          </w:p>
          <w:p>
            <w:pPr>
              <w:pStyle w:val="TableParagraph"/>
              <w:numPr>
                <w:ilvl w:val="0"/>
                <w:numId w:val="20"/>
              </w:numPr>
              <w:tabs>
                <w:tab w:pos="468" w:val="left" w:leader="none"/>
                <w:tab w:pos="469" w:val="left" w:leader="none"/>
              </w:tabs>
              <w:spacing w:line="240" w:lineRule="auto" w:before="0" w:after="0"/>
              <w:ind w:left="468" w:right="109" w:hanging="361"/>
              <w:jc w:val="left"/>
              <w:rPr>
                <w:sz w:val="22"/>
              </w:rPr>
            </w:pPr>
            <w:r>
              <w:rPr>
                <w:sz w:val="22"/>
              </w:rPr>
              <w:t>High risk: The risk of serious harm to the subject or the public is assessed as</w:t>
            </w:r>
            <w:r>
              <w:rPr>
                <w:spacing w:val="-32"/>
                <w:sz w:val="22"/>
              </w:rPr>
              <w:t> </w:t>
            </w:r>
            <w:r>
              <w:rPr>
                <w:sz w:val="22"/>
              </w:rPr>
              <w:t>very likely. This category almost always requires the immediate deployment of police resources – action may be delayed in exceptional circumstances, such as searching water or forested areas during hours of darkness. A member of the senior management team must be involved in the examination of initial lines of enquiry and approval of appropriate staffing levels. Such cases should lead to the appointment of an investigating officer (IO) and possibly a Senior Investigating Officer, and a Police Search Adviser</w:t>
            </w:r>
            <w:r>
              <w:rPr>
                <w:spacing w:val="-11"/>
                <w:sz w:val="22"/>
              </w:rPr>
              <w:t> </w:t>
            </w:r>
            <w:r>
              <w:rPr>
                <w:sz w:val="22"/>
              </w:rPr>
              <w:t>(PolSA).</w:t>
            </w:r>
          </w:p>
        </w:tc>
      </w:tr>
      <w:tr>
        <w:trPr>
          <w:trHeight w:val="3479" w:hRule="atLeast"/>
        </w:trPr>
        <w:tc>
          <w:tcPr>
            <w:tcW w:w="1723" w:type="dxa"/>
          </w:tcPr>
          <w:p>
            <w:pPr>
              <w:pStyle w:val="TableParagraph"/>
              <w:ind w:left="107" w:right="557"/>
              <w:rPr>
                <w:sz w:val="22"/>
              </w:rPr>
            </w:pPr>
            <w:r>
              <w:rPr>
                <w:sz w:val="22"/>
              </w:rPr>
              <w:t>6f. Modern Slavery and Human Trafficking</w:t>
            </w:r>
          </w:p>
          <w:p>
            <w:pPr>
              <w:pStyle w:val="TableParagraph"/>
              <w:spacing w:before="11"/>
              <w:rPr>
                <w:sz w:val="21"/>
              </w:rPr>
            </w:pPr>
          </w:p>
          <w:p>
            <w:pPr>
              <w:pStyle w:val="TableParagraph"/>
              <w:ind w:left="256"/>
              <w:rPr>
                <w:sz w:val="20"/>
              </w:rPr>
            </w:pPr>
            <w:r>
              <w:rPr>
                <w:sz w:val="20"/>
              </w:rPr>
              <w:drawing>
                <wp:inline distT="0" distB="0" distL="0" distR="0">
                  <wp:extent cx="683142" cy="683132"/>
                  <wp:effectExtent l="0" t="0" r="0" b="0"/>
                  <wp:docPr id="31" name="image22.png"/>
                  <wp:cNvGraphicFramePr>
                    <a:graphicFrameLocks noChangeAspect="1"/>
                  </wp:cNvGraphicFramePr>
                  <a:graphic>
                    <a:graphicData uri="http://schemas.openxmlformats.org/drawingml/2006/picture">
                      <pic:pic>
                        <pic:nvPicPr>
                          <pic:cNvPr id="32" name="image22.png"/>
                          <pic:cNvPicPr/>
                        </pic:nvPicPr>
                        <pic:blipFill>
                          <a:blip r:embed="rId29" cstate="print"/>
                          <a:stretch>
                            <a:fillRect/>
                          </a:stretch>
                        </pic:blipFill>
                        <pic:spPr>
                          <a:xfrm>
                            <a:off x="0" y="0"/>
                            <a:ext cx="68314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spacing w:before="11"/>
              <w:rPr>
                <w:sz w:val="26"/>
              </w:rPr>
            </w:pPr>
          </w:p>
        </w:tc>
        <w:tc>
          <w:tcPr>
            <w:tcW w:w="7769" w:type="dxa"/>
          </w:tcPr>
          <w:p>
            <w:pPr>
              <w:pStyle w:val="TableParagraph"/>
              <w:numPr>
                <w:ilvl w:val="0"/>
                <w:numId w:val="21"/>
              </w:numPr>
              <w:tabs>
                <w:tab w:pos="467" w:val="left" w:leader="none"/>
                <w:tab w:pos="468" w:val="left" w:leader="none"/>
              </w:tabs>
              <w:spacing w:line="240" w:lineRule="auto" w:before="0" w:after="0"/>
              <w:ind w:left="468" w:right="205" w:hanging="360"/>
              <w:jc w:val="left"/>
              <w:rPr>
                <w:sz w:val="22"/>
              </w:rPr>
            </w:pPr>
            <w:r>
              <w:rPr>
                <w:sz w:val="22"/>
              </w:rPr>
              <w:t>Overall levels of occurrences recorded that are associated with Modern Slavery are relatively</w:t>
            </w:r>
            <w:r>
              <w:rPr>
                <w:spacing w:val="1"/>
                <w:sz w:val="22"/>
              </w:rPr>
              <w:t> </w:t>
            </w:r>
            <w:r>
              <w:rPr>
                <w:sz w:val="22"/>
              </w:rPr>
              <w:t>low.</w:t>
            </w:r>
          </w:p>
          <w:p>
            <w:pPr>
              <w:pStyle w:val="TableParagraph"/>
              <w:numPr>
                <w:ilvl w:val="0"/>
                <w:numId w:val="21"/>
              </w:numPr>
              <w:tabs>
                <w:tab w:pos="468" w:val="left" w:leader="none"/>
                <w:tab w:pos="469" w:val="left" w:leader="none"/>
              </w:tabs>
              <w:spacing w:line="240" w:lineRule="auto" w:before="0" w:after="0"/>
              <w:ind w:left="468" w:right="331" w:hanging="361"/>
              <w:jc w:val="left"/>
              <w:rPr>
                <w:sz w:val="22"/>
              </w:rPr>
            </w:pPr>
            <w:r>
              <w:rPr>
                <w:sz w:val="22"/>
              </w:rPr>
              <w:t>MSHT Intelligence submissions averaged 7-8 per month in the last 12 months, the downward trend identified following the pandemic has</w:t>
            </w:r>
            <w:r>
              <w:rPr>
                <w:spacing w:val="-13"/>
                <w:sz w:val="22"/>
              </w:rPr>
              <w:t> </w:t>
            </w:r>
            <w:r>
              <w:rPr>
                <w:sz w:val="22"/>
              </w:rPr>
              <w:t>stabilised.</w:t>
            </w:r>
          </w:p>
          <w:p>
            <w:pPr>
              <w:pStyle w:val="TableParagraph"/>
              <w:numPr>
                <w:ilvl w:val="0"/>
                <w:numId w:val="21"/>
              </w:numPr>
              <w:tabs>
                <w:tab w:pos="468" w:val="left" w:leader="none"/>
                <w:tab w:pos="469" w:val="left" w:leader="none"/>
              </w:tabs>
              <w:spacing w:line="240" w:lineRule="auto" w:before="0" w:after="0"/>
              <w:ind w:left="468" w:right="273" w:hanging="361"/>
              <w:jc w:val="left"/>
              <w:rPr>
                <w:sz w:val="22"/>
              </w:rPr>
            </w:pPr>
            <w:r>
              <w:rPr>
                <w:sz w:val="22"/>
              </w:rPr>
              <w:t>MSHT offences are investigated alongside other serious offences by a trained detective and are subject to the same capacity and capability stresses with the detective</w:t>
            </w:r>
            <w:r>
              <w:rPr>
                <w:spacing w:val="-2"/>
                <w:sz w:val="22"/>
              </w:rPr>
              <w:t> </w:t>
            </w:r>
            <w:r>
              <w:rPr>
                <w:sz w:val="22"/>
              </w:rPr>
              <w:t>cohort.</w:t>
            </w:r>
          </w:p>
          <w:p>
            <w:pPr>
              <w:pStyle w:val="TableParagraph"/>
              <w:numPr>
                <w:ilvl w:val="0"/>
                <w:numId w:val="21"/>
              </w:numPr>
              <w:tabs>
                <w:tab w:pos="468" w:val="left" w:leader="none"/>
                <w:tab w:pos="469" w:val="left" w:leader="none"/>
              </w:tabs>
              <w:spacing w:line="240" w:lineRule="auto" w:before="0" w:after="0"/>
              <w:ind w:left="468" w:right="193" w:hanging="361"/>
              <w:jc w:val="left"/>
              <w:rPr>
                <w:sz w:val="22"/>
              </w:rPr>
            </w:pPr>
            <w:r>
              <w:rPr>
                <w:sz w:val="22"/>
              </w:rPr>
              <w:t>The force has a number of Modern Slavery Victim Liaison Officers (MSVLO) that act as a single point of contact working to gain the trust and confidence of extremely vulnerable</w:t>
            </w:r>
            <w:r>
              <w:rPr>
                <w:spacing w:val="-5"/>
                <w:sz w:val="22"/>
              </w:rPr>
              <w:t> </w:t>
            </w:r>
            <w:r>
              <w:rPr>
                <w:sz w:val="22"/>
              </w:rPr>
              <w:t>victims.</w:t>
            </w:r>
          </w:p>
          <w:p>
            <w:pPr>
              <w:pStyle w:val="TableParagraph"/>
              <w:numPr>
                <w:ilvl w:val="0"/>
                <w:numId w:val="21"/>
              </w:numPr>
              <w:tabs>
                <w:tab w:pos="468" w:val="left" w:leader="none"/>
                <w:tab w:pos="469" w:val="left" w:leader="none"/>
              </w:tabs>
              <w:spacing w:line="240" w:lineRule="auto" w:before="0" w:after="0"/>
              <w:ind w:left="468" w:right="569" w:hanging="361"/>
              <w:jc w:val="left"/>
              <w:rPr>
                <w:sz w:val="22"/>
              </w:rPr>
            </w:pPr>
            <w:r>
              <w:rPr>
                <w:sz w:val="22"/>
              </w:rPr>
              <w:t>Demand is driven by proactivity, so if there is limited proactivity to uncover MSHT then demand for investigation and safeguarding is</w:t>
            </w:r>
            <w:r>
              <w:rPr>
                <w:spacing w:val="-12"/>
                <w:sz w:val="22"/>
              </w:rPr>
              <w:t> </w:t>
            </w:r>
            <w:r>
              <w:rPr>
                <w:sz w:val="22"/>
              </w:rPr>
              <w:t>less.</w:t>
            </w:r>
          </w:p>
        </w:tc>
      </w:tr>
      <w:tr>
        <w:trPr>
          <w:trHeight w:val="1636" w:hRule="atLeast"/>
        </w:trPr>
        <w:tc>
          <w:tcPr>
            <w:tcW w:w="1723" w:type="dxa"/>
          </w:tcPr>
          <w:p>
            <w:pPr>
              <w:pStyle w:val="TableParagraph"/>
              <w:ind w:left="107" w:right="688"/>
              <w:rPr>
                <w:sz w:val="22"/>
              </w:rPr>
            </w:pPr>
            <w:r>
              <w:rPr>
                <w:sz w:val="22"/>
              </w:rPr>
              <w:t>6g. Sexual Offences</w:t>
            </w:r>
          </w:p>
        </w:tc>
        <w:tc>
          <w:tcPr>
            <w:tcW w:w="7769" w:type="dxa"/>
          </w:tcPr>
          <w:p>
            <w:pPr>
              <w:pStyle w:val="TableParagraph"/>
              <w:numPr>
                <w:ilvl w:val="0"/>
                <w:numId w:val="22"/>
              </w:numPr>
              <w:tabs>
                <w:tab w:pos="467" w:val="left" w:leader="none"/>
                <w:tab w:pos="468" w:val="left" w:leader="none"/>
              </w:tabs>
              <w:spacing w:line="240" w:lineRule="auto" w:before="0" w:after="0"/>
              <w:ind w:left="468" w:right="439" w:hanging="360"/>
              <w:jc w:val="left"/>
              <w:rPr>
                <w:sz w:val="22"/>
              </w:rPr>
            </w:pPr>
            <w:r>
              <w:rPr>
                <w:sz w:val="22"/>
              </w:rPr>
              <w:t>The general trend for sexual offences is year on year increases in reporting which could reflect either more confidence to report current and non-recent offences or real increases in the number of offences being</w:t>
            </w:r>
            <w:r>
              <w:rPr>
                <w:spacing w:val="-16"/>
                <w:sz w:val="22"/>
              </w:rPr>
              <w:t> </w:t>
            </w:r>
            <w:r>
              <w:rPr>
                <w:sz w:val="22"/>
              </w:rPr>
              <w:t>committed.</w:t>
            </w:r>
          </w:p>
          <w:p>
            <w:pPr>
              <w:pStyle w:val="TableParagraph"/>
              <w:numPr>
                <w:ilvl w:val="0"/>
                <w:numId w:val="22"/>
              </w:numPr>
              <w:tabs>
                <w:tab w:pos="468" w:val="left" w:leader="none"/>
                <w:tab w:pos="469" w:val="left" w:leader="none"/>
              </w:tabs>
              <w:spacing w:line="270" w:lineRule="atLeast" w:before="0" w:after="0"/>
              <w:ind w:left="468" w:right="411" w:hanging="360"/>
              <w:jc w:val="left"/>
              <w:rPr>
                <w:sz w:val="22"/>
              </w:rPr>
            </w:pPr>
            <w:r>
              <w:rPr>
                <w:sz w:val="22"/>
              </w:rPr>
              <w:t>Committed sexual crime demand modelling demonstrates a static trend over the next few years and reported sexual crime modelling suggests an upward trend of potentially around an additional 4-8 sexual crimes per</w:t>
            </w:r>
            <w:r>
              <w:rPr>
                <w:spacing w:val="-22"/>
                <w:sz w:val="22"/>
              </w:rPr>
              <w:t> </w:t>
            </w:r>
            <w:r>
              <w:rPr>
                <w:sz w:val="22"/>
              </w:rPr>
              <w:t>month.</w:t>
            </w:r>
          </w:p>
        </w:tc>
      </w:tr>
    </w:tbl>
    <w:p>
      <w:pPr>
        <w:spacing w:after="0" w:line="270" w:lineRule="atLeas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7769"/>
      </w:tblGrid>
      <w:tr>
        <w:trPr>
          <w:trHeight w:val="8594" w:hRule="atLeast"/>
        </w:trPr>
        <w:tc>
          <w:tcPr>
            <w:tcW w:w="1723" w:type="dxa"/>
          </w:tcPr>
          <w:p>
            <w:pPr>
              <w:pStyle w:val="TableParagraph"/>
              <w:ind w:left="256"/>
              <w:rPr>
                <w:sz w:val="20"/>
              </w:rPr>
            </w:pPr>
            <w:r>
              <w:rPr>
                <w:sz w:val="20"/>
              </w:rPr>
              <w:drawing>
                <wp:inline distT="0" distB="0" distL="0" distR="0">
                  <wp:extent cx="683630" cy="683132"/>
                  <wp:effectExtent l="0" t="0" r="0" b="0"/>
                  <wp:docPr id="33" name="image22.png"/>
                  <wp:cNvGraphicFramePr>
                    <a:graphicFrameLocks noChangeAspect="1"/>
                  </wp:cNvGraphicFramePr>
                  <a:graphic>
                    <a:graphicData uri="http://schemas.openxmlformats.org/drawingml/2006/picture">
                      <pic:pic>
                        <pic:nvPicPr>
                          <pic:cNvPr id="34" name="image22.png"/>
                          <pic:cNvPicPr/>
                        </pic:nvPicPr>
                        <pic:blipFill>
                          <a:blip r:embed="rId29" cstate="print"/>
                          <a:stretch>
                            <a:fillRect/>
                          </a:stretch>
                        </pic:blipFill>
                        <pic:spPr>
                          <a:xfrm>
                            <a:off x="0" y="0"/>
                            <a:ext cx="683630" cy="683132"/>
                          </a:xfrm>
                          <a:prstGeom prst="rect">
                            <a:avLst/>
                          </a:prstGeom>
                        </pic:spPr>
                      </pic:pic>
                    </a:graphicData>
                  </a:graphic>
                </wp:inline>
              </w:drawing>
            </w:r>
            <w:r>
              <w:rPr>
                <w:sz w:val="20"/>
              </w:rPr>
            </w:r>
          </w:p>
        </w:tc>
        <w:tc>
          <w:tcPr>
            <w:tcW w:w="7769" w:type="dxa"/>
          </w:tcPr>
          <w:p>
            <w:pPr>
              <w:pStyle w:val="TableParagraph"/>
              <w:ind w:left="468" w:right="150"/>
              <w:rPr>
                <w:sz w:val="22"/>
              </w:rPr>
            </w:pPr>
            <w:r>
              <w:rPr>
                <w:sz w:val="22"/>
              </w:rPr>
              <w:t>Following the launch of the national Violence Against Women and Girls (VAWG) strategy, reporting of rape against women and girls is also predicted to rise by around an additional 50 crimes per year.</w:t>
            </w:r>
          </w:p>
          <w:p>
            <w:pPr>
              <w:pStyle w:val="TableParagraph"/>
              <w:numPr>
                <w:ilvl w:val="0"/>
                <w:numId w:val="23"/>
              </w:numPr>
              <w:tabs>
                <w:tab w:pos="468" w:val="left" w:leader="none"/>
                <w:tab w:pos="469" w:val="left" w:leader="none"/>
              </w:tabs>
              <w:spacing w:line="240" w:lineRule="auto" w:before="0" w:after="0"/>
              <w:ind w:left="468" w:right="135" w:hanging="361"/>
              <w:jc w:val="left"/>
              <w:rPr>
                <w:sz w:val="22"/>
              </w:rPr>
            </w:pPr>
            <w:r>
              <w:rPr>
                <w:sz w:val="22"/>
              </w:rPr>
              <w:t>In general, over the last 8 years (2015/16 to 2022/23), around 26.4% of all sexual offences and 35.3% of rape were reported in the years following the year in which the offence was</w:t>
            </w:r>
            <w:r>
              <w:rPr>
                <w:spacing w:val="-9"/>
                <w:sz w:val="22"/>
              </w:rPr>
              <w:t> </w:t>
            </w:r>
            <w:r>
              <w:rPr>
                <w:sz w:val="22"/>
              </w:rPr>
              <w:t>committed.</w:t>
            </w:r>
          </w:p>
          <w:p>
            <w:pPr>
              <w:pStyle w:val="TableParagraph"/>
              <w:numPr>
                <w:ilvl w:val="0"/>
                <w:numId w:val="23"/>
              </w:numPr>
              <w:tabs>
                <w:tab w:pos="468" w:val="left" w:leader="none"/>
                <w:tab w:pos="469" w:val="left" w:leader="none"/>
              </w:tabs>
              <w:spacing w:line="240" w:lineRule="auto" w:before="0" w:after="0"/>
              <w:ind w:left="468" w:right="228" w:hanging="361"/>
              <w:jc w:val="left"/>
              <w:rPr>
                <w:sz w:val="22"/>
              </w:rPr>
            </w:pPr>
            <w:r>
              <w:rPr>
                <w:sz w:val="22"/>
              </w:rPr>
              <w:t>Op Soteria - in order to prepare for the National Operating Model (NOM), the force has established an Op Soteria Working Group to discuss the Force’s preparedness. A review of the Year One report and the findings from the pilot forces has been conducted and NYP has focussed upon understanding and identifying improvement activity under each pillar which will put the force on</w:t>
            </w:r>
            <w:r>
              <w:rPr>
                <w:spacing w:val="-32"/>
                <w:sz w:val="22"/>
              </w:rPr>
              <w:t> </w:t>
            </w:r>
            <w:r>
              <w:rPr>
                <w:sz w:val="22"/>
              </w:rPr>
              <w:t>a sound footing once the national implementation</w:t>
            </w:r>
            <w:r>
              <w:rPr>
                <w:spacing w:val="-9"/>
                <w:sz w:val="22"/>
              </w:rPr>
              <w:t> </w:t>
            </w:r>
            <w:r>
              <w:rPr>
                <w:sz w:val="22"/>
              </w:rPr>
              <w:t>commences.</w:t>
            </w:r>
          </w:p>
          <w:p>
            <w:pPr>
              <w:pStyle w:val="TableParagraph"/>
              <w:numPr>
                <w:ilvl w:val="0"/>
                <w:numId w:val="23"/>
              </w:numPr>
              <w:tabs>
                <w:tab w:pos="468" w:val="left" w:leader="none"/>
                <w:tab w:pos="469" w:val="left" w:leader="none"/>
              </w:tabs>
              <w:spacing w:line="240" w:lineRule="auto" w:before="0" w:after="0"/>
              <w:ind w:left="468" w:right="123" w:hanging="361"/>
              <w:jc w:val="left"/>
              <w:rPr>
                <w:sz w:val="22"/>
              </w:rPr>
            </w:pPr>
            <w:r>
              <w:rPr>
                <w:sz w:val="22"/>
              </w:rPr>
              <w:t>SSI’s (Specialist Safeguarding Investigators) are based within CID, to ensure child and adult sexual abuse cases are being investigated by appropriately qualified staff.</w:t>
            </w:r>
          </w:p>
          <w:p>
            <w:pPr>
              <w:pStyle w:val="TableParagraph"/>
              <w:numPr>
                <w:ilvl w:val="0"/>
                <w:numId w:val="23"/>
              </w:numPr>
              <w:tabs>
                <w:tab w:pos="469" w:val="left" w:leader="none"/>
              </w:tabs>
              <w:spacing w:line="240" w:lineRule="auto" w:before="0" w:after="0"/>
              <w:ind w:left="468" w:right="411" w:hanging="361"/>
              <w:jc w:val="both"/>
              <w:rPr>
                <w:sz w:val="22"/>
              </w:rPr>
            </w:pPr>
            <w:r>
              <w:rPr>
                <w:sz w:val="22"/>
              </w:rPr>
              <w:t>Balancing the retention and well-being of detectives and the development of future detectives brings constant pressure as the nature of the work exposes practitioners to victim trauma and emotionally challenging</w:t>
            </w:r>
            <w:r>
              <w:rPr>
                <w:spacing w:val="-20"/>
                <w:sz w:val="22"/>
              </w:rPr>
              <w:t> </w:t>
            </w:r>
            <w:r>
              <w:rPr>
                <w:sz w:val="22"/>
              </w:rPr>
              <w:t>investigations.</w:t>
            </w:r>
          </w:p>
          <w:p>
            <w:pPr>
              <w:pStyle w:val="TableParagraph"/>
              <w:numPr>
                <w:ilvl w:val="0"/>
                <w:numId w:val="23"/>
              </w:numPr>
              <w:tabs>
                <w:tab w:pos="468" w:val="left" w:leader="none"/>
                <w:tab w:pos="469" w:val="left" w:leader="none"/>
              </w:tabs>
              <w:spacing w:line="240" w:lineRule="auto" w:before="0" w:after="0"/>
              <w:ind w:left="468" w:right="95" w:hanging="361"/>
              <w:jc w:val="left"/>
              <w:rPr>
                <w:sz w:val="22"/>
              </w:rPr>
            </w:pPr>
            <w:r>
              <w:rPr>
                <w:sz w:val="22"/>
              </w:rPr>
              <w:t>In April 2023, a new model of investigation was approved which separates CID (including Expedite) and Safeguarding Investigation teams in each Command. The resources will remain under the direction and supervision of Commanders. Demand modelling has been conducted to ensure the new team are sufficiently resourced ensuring dedicated and appropriately skilled investigators dealing with the most vulnerable victims. This change also addresses a numbers of areas for improvement in the National Child Protection</w:t>
            </w:r>
            <w:r>
              <w:rPr>
                <w:spacing w:val="-9"/>
                <w:sz w:val="22"/>
              </w:rPr>
              <w:t> </w:t>
            </w:r>
            <w:r>
              <w:rPr>
                <w:sz w:val="22"/>
              </w:rPr>
              <w:t>Inspection.</w:t>
            </w:r>
          </w:p>
          <w:p>
            <w:pPr>
              <w:pStyle w:val="TableParagraph"/>
              <w:numPr>
                <w:ilvl w:val="0"/>
                <w:numId w:val="23"/>
              </w:numPr>
              <w:tabs>
                <w:tab w:pos="468" w:val="left" w:leader="none"/>
                <w:tab w:pos="469" w:val="left" w:leader="none"/>
              </w:tabs>
              <w:spacing w:line="240" w:lineRule="auto" w:before="0" w:after="0"/>
              <w:ind w:left="468" w:right="594" w:hanging="361"/>
              <w:jc w:val="left"/>
              <w:rPr>
                <w:sz w:val="22"/>
              </w:rPr>
            </w:pPr>
            <w:r>
              <w:rPr>
                <w:sz w:val="22"/>
              </w:rPr>
              <w:t>In addition to the uplift in these geographically based teams, additional resources have been approved for central Safeguarding functions for implementation in 2023/24. This includes a DCI to support stronger central safeguarding governance and policy development (including VAWG), an increase in the Online Child Abuse Team (OCAT) to effectively manage the growing demand from IIOC</w:t>
            </w:r>
            <w:r>
              <w:rPr>
                <w:spacing w:val="-6"/>
                <w:sz w:val="22"/>
              </w:rPr>
              <w:t> </w:t>
            </w:r>
            <w:r>
              <w:rPr>
                <w:sz w:val="22"/>
              </w:rPr>
              <w:t>investigations.</w:t>
            </w:r>
          </w:p>
        </w:tc>
      </w:tr>
      <w:tr>
        <w:trPr>
          <w:trHeight w:val="5186" w:hRule="atLeast"/>
        </w:trPr>
        <w:tc>
          <w:tcPr>
            <w:tcW w:w="1723" w:type="dxa"/>
          </w:tcPr>
          <w:p>
            <w:pPr>
              <w:pStyle w:val="TableParagraph"/>
              <w:spacing w:line="268" w:lineRule="exact"/>
              <w:ind w:left="107"/>
              <w:rPr>
                <w:sz w:val="22"/>
              </w:rPr>
            </w:pPr>
            <w:r>
              <w:rPr>
                <w:sz w:val="22"/>
              </w:rPr>
              <w:t>6h. Hate Crime</w:t>
            </w:r>
          </w:p>
          <w:p>
            <w:pPr>
              <w:pStyle w:val="TableParagraph"/>
              <w:spacing w:before="1"/>
              <w:rPr>
                <w:sz w:val="22"/>
              </w:rPr>
            </w:pPr>
          </w:p>
          <w:p>
            <w:pPr>
              <w:pStyle w:val="TableParagraph"/>
              <w:ind w:left="256"/>
              <w:rPr>
                <w:sz w:val="20"/>
              </w:rPr>
            </w:pPr>
            <w:r>
              <w:rPr>
                <w:sz w:val="20"/>
              </w:rPr>
              <w:drawing>
                <wp:inline distT="0" distB="0" distL="0" distR="0">
                  <wp:extent cx="683133" cy="683133"/>
                  <wp:effectExtent l="0" t="0" r="0" b="0"/>
                  <wp:docPr id="35" name="image22.png"/>
                  <wp:cNvGraphicFramePr>
                    <a:graphicFrameLocks noChangeAspect="1"/>
                  </wp:cNvGraphicFramePr>
                  <a:graphic>
                    <a:graphicData uri="http://schemas.openxmlformats.org/drawingml/2006/picture">
                      <pic:pic>
                        <pic:nvPicPr>
                          <pic:cNvPr id="36" name="image22.png"/>
                          <pic:cNvPicPr/>
                        </pic:nvPicPr>
                        <pic:blipFill>
                          <a:blip r:embed="rId29" cstate="print"/>
                          <a:stretch>
                            <a:fillRect/>
                          </a:stretch>
                        </pic:blipFill>
                        <pic:spPr>
                          <a:xfrm>
                            <a:off x="0" y="0"/>
                            <a:ext cx="683133"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69" w:type="dxa"/>
          </w:tcPr>
          <w:p>
            <w:pPr>
              <w:pStyle w:val="TableParagraph"/>
              <w:numPr>
                <w:ilvl w:val="0"/>
                <w:numId w:val="24"/>
              </w:numPr>
              <w:tabs>
                <w:tab w:pos="468" w:val="left" w:leader="none"/>
              </w:tabs>
              <w:spacing w:line="240" w:lineRule="auto" w:before="0" w:after="0"/>
              <w:ind w:left="468" w:right="138" w:hanging="360"/>
              <w:jc w:val="both"/>
              <w:rPr>
                <w:sz w:val="22"/>
              </w:rPr>
            </w:pPr>
            <w:r>
              <w:rPr>
                <w:sz w:val="22"/>
              </w:rPr>
              <w:t>North Yorkshire Police recognises that its response to Hate Crime is a key driver of securing public trust and confidence, especially at a time of falling confidence in Policing nationally, particularly from within ethnic minority</w:t>
            </w:r>
            <w:r>
              <w:rPr>
                <w:spacing w:val="-18"/>
                <w:sz w:val="22"/>
              </w:rPr>
              <w:t> </w:t>
            </w:r>
            <w:r>
              <w:rPr>
                <w:sz w:val="22"/>
              </w:rPr>
              <w:t>communities.</w:t>
            </w:r>
          </w:p>
          <w:p>
            <w:pPr>
              <w:pStyle w:val="TableParagraph"/>
              <w:numPr>
                <w:ilvl w:val="0"/>
                <w:numId w:val="24"/>
              </w:numPr>
              <w:tabs>
                <w:tab w:pos="469" w:val="left" w:leader="none"/>
              </w:tabs>
              <w:spacing w:line="240" w:lineRule="auto" w:before="0" w:after="0"/>
              <w:ind w:left="467" w:right="382" w:hanging="360"/>
              <w:jc w:val="both"/>
              <w:rPr>
                <w:sz w:val="22"/>
              </w:rPr>
            </w:pPr>
            <w:r>
              <w:rPr>
                <w:sz w:val="22"/>
              </w:rPr>
              <w:t>Levels of reported hate crime per 100,000 population in North Yorkshire are quite small with NYP falling into the lowest bracket nationally of 99-154 hate crime per 100,000 population according to data from the Home Office</w:t>
            </w:r>
            <w:r>
              <w:rPr>
                <w:spacing w:val="-27"/>
                <w:sz w:val="22"/>
              </w:rPr>
              <w:t> </w:t>
            </w:r>
            <w:r>
              <w:rPr>
                <w:sz w:val="22"/>
              </w:rPr>
              <w:t>21/22.</w:t>
            </w:r>
          </w:p>
          <w:p>
            <w:pPr>
              <w:pStyle w:val="TableParagraph"/>
              <w:numPr>
                <w:ilvl w:val="0"/>
                <w:numId w:val="24"/>
              </w:numPr>
              <w:tabs>
                <w:tab w:pos="469" w:val="left" w:leader="none"/>
              </w:tabs>
              <w:spacing w:line="279" w:lineRule="exact" w:before="0" w:after="0"/>
              <w:ind w:left="468" w:right="0" w:hanging="361"/>
              <w:jc w:val="both"/>
              <w:rPr>
                <w:sz w:val="22"/>
              </w:rPr>
            </w:pPr>
            <w:r>
              <w:rPr>
                <w:sz w:val="22"/>
              </w:rPr>
              <w:t>57% of hate crime over the last three years is racially</w:t>
            </w:r>
            <w:r>
              <w:rPr>
                <w:spacing w:val="-17"/>
                <w:sz w:val="22"/>
              </w:rPr>
              <w:t> </w:t>
            </w:r>
            <w:r>
              <w:rPr>
                <w:sz w:val="22"/>
              </w:rPr>
              <w:t>motivated.</w:t>
            </w:r>
          </w:p>
          <w:p>
            <w:pPr>
              <w:pStyle w:val="TableParagraph"/>
              <w:numPr>
                <w:ilvl w:val="0"/>
                <w:numId w:val="24"/>
              </w:numPr>
              <w:tabs>
                <w:tab w:pos="468" w:val="left" w:leader="none"/>
                <w:tab w:pos="469" w:val="left" w:leader="none"/>
              </w:tabs>
              <w:spacing w:line="240" w:lineRule="auto" w:before="1" w:after="0"/>
              <w:ind w:left="468" w:right="403" w:hanging="361"/>
              <w:jc w:val="left"/>
              <w:rPr>
                <w:sz w:val="22"/>
              </w:rPr>
            </w:pPr>
            <w:r>
              <w:rPr>
                <w:sz w:val="22"/>
              </w:rPr>
              <w:t>In North Yorkshire Police, Misogyny/Misandry is also recorded as a prejudice marker and whilst this is only a small percentage of the total, it was recorded against 4.1% of all recorded hate crime in 2022. The force also records hate crime against sex</w:t>
            </w:r>
            <w:r>
              <w:rPr>
                <w:spacing w:val="-4"/>
                <w:sz w:val="22"/>
              </w:rPr>
              <w:t> </w:t>
            </w:r>
            <w:r>
              <w:rPr>
                <w:sz w:val="22"/>
              </w:rPr>
              <w:t>workers.</w:t>
            </w:r>
          </w:p>
          <w:p>
            <w:pPr>
              <w:pStyle w:val="TableParagraph"/>
              <w:numPr>
                <w:ilvl w:val="0"/>
                <w:numId w:val="24"/>
              </w:numPr>
              <w:tabs>
                <w:tab w:pos="468" w:val="left" w:leader="none"/>
                <w:tab w:pos="469" w:val="left" w:leader="none"/>
              </w:tabs>
              <w:spacing w:line="240" w:lineRule="auto" w:before="0" w:after="0"/>
              <w:ind w:left="468" w:right="760" w:hanging="361"/>
              <w:jc w:val="left"/>
              <w:rPr>
                <w:sz w:val="22"/>
              </w:rPr>
            </w:pPr>
            <w:r>
              <w:rPr>
                <w:sz w:val="22"/>
              </w:rPr>
              <w:t>The forecast shows a slowing of the upward trend and predicts growth in reported hate crime of around 37 crimes per</w:t>
            </w:r>
            <w:r>
              <w:rPr>
                <w:spacing w:val="-9"/>
                <w:sz w:val="22"/>
              </w:rPr>
              <w:t> </w:t>
            </w:r>
            <w:r>
              <w:rPr>
                <w:sz w:val="22"/>
              </w:rPr>
              <w:t>annum.</w:t>
            </w:r>
          </w:p>
          <w:p>
            <w:pPr>
              <w:pStyle w:val="TableParagraph"/>
              <w:numPr>
                <w:ilvl w:val="0"/>
                <w:numId w:val="24"/>
              </w:numPr>
              <w:tabs>
                <w:tab w:pos="468" w:val="left" w:leader="none"/>
                <w:tab w:pos="469" w:val="left" w:leader="none"/>
              </w:tabs>
              <w:spacing w:line="240" w:lineRule="auto" w:before="0" w:after="0"/>
              <w:ind w:left="468" w:right="541" w:hanging="361"/>
              <w:jc w:val="left"/>
              <w:rPr>
                <w:sz w:val="22"/>
              </w:rPr>
            </w:pPr>
            <w:r>
              <w:rPr>
                <w:sz w:val="22"/>
              </w:rPr>
              <w:t>The hate crime team provide scrutiny regarding the process for hate crimes cases to build confidence in reporting and recording performance. This is underpinned by hate crime</w:t>
            </w:r>
            <w:r>
              <w:rPr>
                <w:spacing w:val="-5"/>
                <w:sz w:val="22"/>
              </w:rPr>
              <w:t> </w:t>
            </w:r>
            <w:r>
              <w:rPr>
                <w:sz w:val="22"/>
              </w:rPr>
              <w:t>analytics.</w:t>
            </w:r>
          </w:p>
          <w:p>
            <w:pPr>
              <w:pStyle w:val="TableParagraph"/>
              <w:numPr>
                <w:ilvl w:val="0"/>
                <w:numId w:val="24"/>
              </w:numPr>
              <w:tabs>
                <w:tab w:pos="468" w:val="left" w:leader="none"/>
                <w:tab w:pos="469" w:val="left" w:leader="none"/>
              </w:tabs>
              <w:spacing w:line="240" w:lineRule="auto" w:before="0" w:after="0"/>
              <w:ind w:left="468" w:right="157" w:hanging="361"/>
              <w:jc w:val="left"/>
              <w:rPr>
                <w:sz w:val="22"/>
              </w:rPr>
            </w:pPr>
            <w:r>
              <w:rPr>
                <w:sz w:val="22"/>
              </w:rPr>
              <w:t>A Strategic Independent Advisory group (SIAG) has been established, chaired by an ACC and local IAGs support the delivery of policing within the</w:t>
            </w:r>
            <w:r>
              <w:rPr>
                <w:spacing w:val="-21"/>
                <w:sz w:val="22"/>
              </w:rPr>
              <w:t> </w:t>
            </w:r>
            <w:r>
              <w:rPr>
                <w:sz w:val="22"/>
              </w:rPr>
              <w:t>geographic</w:t>
            </w:r>
          </w:p>
          <w:p>
            <w:pPr>
              <w:pStyle w:val="TableParagraph"/>
              <w:spacing w:line="250" w:lineRule="exact"/>
              <w:ind w:left="468"/>
              <w:rPr>
                <w:sz w:val="22"/>
              </w:rPr>
            </w:pPr>
            <w:r>
              <w:rPr>
                <w:sz w:val="22"/>
              </w:rPr>
              <w:t>commands. There is also a Youth IAG in place.</w:t>
            </w:r>
          </w:p>
        </w:tc>
      </w:tr>
    </w:tbl>
    <w:p>
      <w:pPr>
        <w:spacing w:after="0" w:line="250" w:lineRule="exac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7769"/>
      </w:tblGrid>
      <w:tr>
        <w:trPr>
          <w:trHeight w:val="1833" w:hRule="atLeast"/>
        </w:trPr>
        <w:tc>
          <w:tcPr>
            <w:tcW w:w="1723" w:type="dxa"/>
          </w:tcPr>
          <w:p>
            <w:pPr>
              <w:pStyle w:val="TableParagraph"/>
              <w:rPr>
                <w:rFonts w:ascii="Times New Roman"/>
                <w:sz w:val="22"/>
              </w:rPr>
            </w:pPr>
          </w:p>
        </w:tc>
        <w:tc>
          <w:tcPr>
            <w:tcW w:w="7769" w:type="dxa"/>
          </w:tcPr>
          <w:p>
            <w:pPr>
              <w:pStyle w:val="TableParagraph"/>
              <w:numPr>
                <w:ilvl w:val="0"/>
                <w:numId w:val="25"/>
              </w:numPr>
              <w:tabs>
                <w:tab w:pos="467" w:val="left" w:leader="none"/>
                <w:tab w:pos="468" w:val="left" w:leader="none"/>
              </w:tabs>
              <w:spacing w:line="240" w:lineRule="auto" w:before="0" w:after="0"/>
              <w:ind w:left="468" w:right="149" w:hanging="360"/>
              <w:jc w:val="left"/>
              <w:rPr>
                <w:sz w:val="22"/>
              </w:rPr>
            </w:pPr>
            <w:r>
              <w:rPr>
                <w:sz w:val="22"/>
              </w:rPr>
              <w:t>NYP have invested in dedicated resources that to improve the force’s problem- solving approach to tackling both hate crime and hate occurrences across North Yorkshire and the City of</w:t>
            </w:r>
            <w:r>
              <w:rPr>
                <w:spacing w:val="-1"/>
                <w:sz w:val="22"/>
              </w:rPr>
              <w:t> </w:t>
            </w:r>
            <w:r>
              <w:rPr>
                <w:sz w:val="22"/>
              </w:rPr>
              <w:t>York.</w:t>
            </w:r>
          </w:p>
          <w:p>
            <w:pPr>
              <w:pStyle w:val="TableParagraph"/>
              <w:numPr>
                <w:ilvl w:val="0"/>
                <w:numId w:val="25"/>
              </w:numPr>
              <w:tabs>
                <w:tab w:pos="468" w:val="left" w:leader="none"/>
                <w:tab w:pos="469" w:val="left" w:leader="none"/>
              </w:tabs>
              <w:spacing w:line="240" w:lineRule="auto" w:before="0" w:after="0"/>
              <w:ind w:left="468" w:right="426" w:hanging="361"/>
              <w:jc w:val="left"/>
              <w:rPr>
                <w:sz w:val="22"/>
              </w:rPr>
            </w:pPr>
            <w:r>
              <w:rPr>
                <w:sz w:val="22"/>
              </w:rPr>
              <w:t>The hate crime team supports front line officers through education and upskilling with advice and guidance to recognise, record and investigate hate crime</w:t>
            </w:r>
            <w:r>
              <w:rPr>
                <w:spacing w:val="-2"/>
                <w:sz w:val="22"/>
              </w:rPr>
              <w:t> </w:t>
            </w:r>
            <w:r>
              <w:rPr>
                <w:sz w:val="22"/>
              </w:rPr>
              <w:t>offences.</w:t>
            </w:r>
          </w:p>
        </w:tc>
      </w:tr>
      <w:tr>
        <w:trPr>
          <w:trHeight w:val="8629" w:hRule="atLeast"/>
        </w:trPr>
        <w:tc>
          <w:tcPr>
            <w:tcW w:w="1723" w:type="dxa"/>
          </w:tcPr>
          <w:p>
            <w:pPr>
              <w:pStyle w:val="TableParagraph"/>
              <w:ind w:left="107" w:right="676"/>
              <w:rPr>
                <w:sz w:val="22"/>
              </w:rPr>
            </w:pPr>
            <w:r>
              <w:rPr>
                <w:sz w:val="22"/>
              </w:rPr>
              <w:t>6i. Mental Health</w:t>
            </w:r>
          </w:p>
          <w:p>
            <w:pPr>
              <w:pStyle w:val="TableParagraph"/>
              <w:rPr>
                <w:sz w:val="22"/>
              </w:rPr>
            </w:pPr>
          </w:p>
          <w:p>
            <w:pPr>
              <w:pStyle w:val="TableParagraph"/>
              <w:ind w:left="256"/>
              <w:rPr>
                <w:sz w:val="20"/>
              </w:rPr>
            </w:pPr>
            <w:r>
              <w:rPr>
                <w:sz w:val="20"/>
              </w:rPr>
              <w:drawing>
                <wp:inline distT="0" distB="0" distL="0" distR="0">
                  <wp:extent cx="683132" cy="683132"/>
                  <wp:effectExtent l="0" t="0" r="0" b="0"/>
                  <wp:docPr id="37" name="image22.png"/>
                  <wp:cNvGraphicFramePr>
                    <a:graphicFrameLocks noChangeAspect="1"/>
                  </wp:cNvGraphicFramePr>
                  <a:graphic>
                    <a:graphicData uri="http://schemas.openxmlformats.org/drawingml/2006/picture">
                      <pic:pic>
                        <pic:nvPicPr>
                          <pic:cNvPr id="38" name="image22.png"/>
                          <pic:cNvPicPr/>
                        </pic:nvPicPr>
                        <pic:blipFill>
                          <a:blip r:embed="rId29"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69" w:type="dxa"/>
          </w:tcPr>
          <w:p>
            <w:pPr>
              <w:pStyle w:val="TableParagraph"/>
              <w:numPr>
                <w:ilvl w:val="0"/>
                <w:numId w:val="26"/>
              </w:numPr>
              <w:tabs>
                <w:tab w:pos="467" w:val="left" w:leader="none"/>
                <w:tab w:pos="468" w:val="left" w:leader="none"/>
              </w:tabs>
              <w:spacing w:line="240" w:lineRule="auto" w:before="0" w:after="0"/>
              <w:ind w:left="468" w:right="177" w:hanging="360"/>
              <w:jc w:val="left"/>
              <w:rPr>
                <w:sz w:val="22"/>
              </w:rPr>
            </w:pPr>
            <w:r>
              <w:rPr>
                <w:sz w:val="22"/>
              </w:rPr>
              <w:t>Over the last few years, the number of incidents where mental Health has been recognised as a factor has increased year on year and is in part due to a better and more focussed recognition and understanding of Mental health related issues and improvements in</w:t>
            </w:r>
            <w:r>
              <w:rPr>
                <w:spacing w:val="-3"/>
                <w:sz w:val="22"/>
              </w:rPr>
              <w:t> </w:t>
            </w:r>
            <w:r>
              <w:rPr>
                <w:sz w:val="22"/>
              </w:rPr>
              <w:t>recording.</w:t>
            </w:r>
          </w:p>
          <w:p>
            <w:pPr>
              <w:pStyle w:val="TableParagraph"/>
              <w:numPr>
                <w:ilvl w:val="0"/>
                <w:numId w:val="26"/>
              </w:numPr>
              <w:tabs>
                <w:tab w:pos="468" w:val="left" w:leader="none"/>
                <w:tab w:pos="469" w:val="left" w:leader="none"/>
              </w:tabs>
              <w:spacing w:line="237" w:lineRule="auto" w:before="2" w:after="0"/>
              <w:ind w:left="468" w:right="731" w:hanging="361"/>
              <w:jc w:val="left"/>
              <w:rPr>
                <w:sz w:val="22"/>
              </w:rPr>
            </w:pPr>
            <w:r>
              <w:rPr>
                <w:sz w:val="22"/>
              </w:rPr>
              <w:t>Demand for calls for service is anticipated to go up and is estimated to be around 1,935 additional calls for service per year over the next 3</w:t>
            </w:r>
            <w:r>
              <w:rPr>
                <w:spacing w:val="-17"/>
                <w:sz w:val="22"/>
              </w:rPr>
              <w:t> </w:t>
            </w:r>
            <w:r>
              <w:rPr>
                <w:sz w:val="22"/>
              </w:rPr>
              <w:t>years.</w:t>
            </w:r>
          </w:p>
          <w:p>
            <w:pPr>
              <w:pStyle w:val="TableParagraph"/>
              <w:numPr>
                <w:ilvl w:val="0"/>
                <w:numId w:val="26"/>
              </w:numPr>
              <w:tabs>
                <w:tab w:pos="468" w:val="left" w:leader="none"/>
                <w:tab w:pos="469" w:val="left" w:leader="none"/>
              </w:tabs>
              <w:spacing w:line="240" w:lineRule="auto" w:before="2" w:after="0"/>
              <w:ind w:left="468" w:right="178" w:hanging="361"/>
              <w:jc w:val="left"/>
              <w:rPr>
                <w:sz w:val="22"/>
              </w:rPr>
            </w:pPr>
            <w:r>
              <w:rPr>
                <w:sz w:val="22"/>
              </w:rPr>
              <w:t>The ‘Right Care, Right Person’ model was introduced in January 2023 and is due to be fully implemented from 1st June</w:t>
            </w:r>
            <w:r>
              <w:rPr>
                <w:spacing w:val="-5"/>
                <w:sz w:val="22"/>
              </w:rPr>
              <w:t> </w:t>
            </w:r>
            <w:r>
              <w:rPr>
                <w:sz w:val="22"/>
              </w:rPr>
              <w:t>2023.</w:t>
            </w:r>
          </w:p>
          <w:p>
            <w:pPr>
              <w:pStyle w:val="TableParagraph"/>
              <w:numPr>
                <w:ilvl w:val="0"/>
                <w:numId w:val="26"/>
              </w:numPr>
              <w:tabs>
                <w:tab w:pos="468" w:val="left" w:leader="none"/>
                <w:tab w:pos="469" w:val="left" w:leader="none"/>
              </w:tabs>
              <w:spacing w:line="240" w:lineRule="auto" w:before="1" w:after="0"/>
              <w:ind w:left="468" w:right="121" w:hanging="361"/>
              <w:jc w:val="left"/>
              <w:rPr>
                <w:sz w:val="22"/>
              </w:rPr>
            </w:pPr>
            <w:r>
              <w:rPr>
                <w:sz w:val="22"/>
              </w:rPr>
              <w:t>From June 2023, a ‘Right Care, Right Person’ Panel will be formed comprising of key representatives from public service partners to review Right Care Right Person centred incidents to ensure that the public are indeed receiving the right care from the right people.</w:t>
            </w:r>
          </w:p>
          <w:p>
            <w:pPr>
              <w:pStyle w:val="TableParagraph"/>
              <w:numPr>
                <w:ilvl w:val="0"/>
                <w:numId w:val="26"/>
              </w:numPr>
              <w:tabs>
                <w:tab w:pos="469" w:val="left" w:leader="none"/>
              </w:tabs>
              <w:spacing w:line="240" w:lineRule="auto" w:before="0" w:after="0"/>
              <w:ind w:left="468" w:right="118" w:hanging="361"/>
              <w:jc w:val="both"/>
              <w:rPr>
                <w:sz w:val="22"/>
              </w:rPr>
            </w:pPr>
            <w:r>
              <w:rPr>
                <w:sz w:val="22"/>
              </w:rPr>
              <w:t>The Mental Health portfolio sits with the Head of Partnerships supported by an Inspector as the strategic lead along with an Operational Mental Health Advisor Team which consisted of one Sergeant and six police constables who are Mental Health</w:t>
            </w:r>
            <w:r>
              <w:rPr>
                <w:spacing w:val="-2"/>
                <w:sz w:val="22"/>
              </w:rPr>
              <w:t> </w:t>
            </w:r>
            <w:r>
              <w:rPr>
                <w:sz w:val="22"/>
              </w:rPr>
              <w:t>Co-ordinators.</w:t>
            </w:r>
          </w:p>
          <w:p>
            <w:pPr>
              <w:pStyle w:val="TableParagraph"/>
              <w:numPr>
                <w:ilvl w:val="0"/>
                <w:numId w:val="26"/>
              </w:numPr>
              <w:tabs>
                <w:tab w:pos="468" w:val="left" w:leader="none"/>
                <w:tab w:pos="469" w:val="left" w:leader="none"/>
              </w:tabs>
              <w:spacing w:line="240" w:lineRule="auto" w:before="0" w:after="0"/>
              <w:ind w:left="468" w:right="112" w:hanging="361"/>
              <w:jc w:val="left"/>
              <w:rPr>
                <w:sz w:val="22"/>
              </w:rPr>
            </w:pPr>
            <w:r>
              <w:rPr>
                <w:sz w:val="22"/>
              </w:rPr>
              <w:t>The North Yorkshire Mental Health Crisis Care Concordat have an Action Plan which provides a framework for the improvement and development of mental health services for people in crisis in North Yorkshire and York which reflects the number of creative, supporting and collaborative initiatives in place across statutory and third sector partners to which North Yorkshire Police</w:t>
            </w:r>
            <w:r>
              <w:rPr>
                <w:spacing w:val="-25"/>
                <w:sz w:val="22"/>
              </w:rPr>
              <w:t> </w:t>
            </w:r>
            <w:r>
              <w:rPr>
                <w:sz w:val="22"/>
              </w:rPr>
              <w:t>contribute.</w:t>
            </w:r>
          </w:p>
          <w:p>
            <w:pPr>
              <w:pStyle w:val="TableParagraph"/>
              <w:numPr>
                <w:ilvl w:val="0"/>
                <w:numId w:val="26"/>
              </w:numPr>
              <w:tabs>
                <w:tab w:pos="469" w:val="left" w:leader="none"/>
              </w:tabs>
              <w:spacing w:line="240" w:lineRule="auto" w:before="0" w:after="0"/>
              <w:ind w:left="468" w:right="138" w:hanging="361"/>
              <w:jc w:val="both"/>
              <w:rPr>
                <w:sz w:val="22"/>
              </w:rPr>
            </w:pPr>
            <w:r>
              <w:rPr>
                <w:sz w:val="22"/>
              </w:rPr>
              <w:t>Suicide Awareness and Prevention Conference is now an annual event for North Yorkshire Police with a refreshed agenda each year which empowers colleagues and increases understanding in these</w:t>
            </w:r>
            <w:r>
              <w:rPr>
                <w:spacing w:val="-5"/>
                <w:sz w:val="22"/>
              </w:rPr>
              <w:t> </w:t>
            </w:r>
            <w:r>
              <w:rPr>
                <w:sz w:val="22"/>
              </w:rPr>
              <w:t>areas.</w:t>
            </w:r>
          </w:p>
          <w:p>
            <w:pPr>
              <w:pStyle w:val="TableParagraph"/>
              <w:numPr>
                <w:ilvl w:val="0"/>
                <w:numId w:val="26"/>
              </w:numPr>
              <w:tabs>
                <w:tab w:pos="468" w:val="left" w:leader="none"/>
                <w:tab w:pos="469" w:val="left" w:leader="none"/>
              </w:tabs>
              <w:spacing w:line="240" w:lineRule="auto" w:before="0" w:after="0"/>
              <w:ind w:left="468" w:right="536" w:hanging="361"/>
              <w:jc w:val="left"/>
              <w:rPr>
                <w:sz w:val="22"/>
              </w:rPr>
            </w:pPr>
            <w:r>
              <w:rPr>
                <w:sz w:val="22"/>
              </w:rPr>
              <w:t>North Yorkshire Police are working with the College of Policing to conduct a peer review following the full implementation of ‘Right Care, Right Person’ which will commence from July 2023. This will assess the force's approach which is rooted in strong and mature local</w:t>
            </w:r>
            <w:r>
              <w:rPr>
                <w:spacing w:val="-10"/>
                <w:sz w:val="22"/>
              </w:rPr>
              <w:t> </w:t>
            </w:r>
            <w:r>
              <w:rPr>
                <w:sz w:val="22"/>
              </w:rPr>
              <w:t>partnerships.</w:t>
            </w:r>
          </w:p>
          <w:p>
            <w:pPr>
              <w:pStyle w:val="TableParagraph"/>
              <w:numPr>
                <w:ilvl w:val="0"/>
                <w:numId w:val="26"/>
              </w:numPr>
              <w:tabs>
                <w:tab w:pos="468" w:val="left" w:leader="none"/>
                <w:tab w:pos="469" w:val="left" w:leader="none"/>
              </w:tabs>
              <w:spacing w:line="240" w:lineRule="auto" w:before="0" w:after="0"/>
              <w:ind w:left="468" w:right="370" w:hanging="361"/>
              <w:jc w:val="left"/>
              <w:rPr>
                <w:sz w:val="22"/>
              </w:rPr>
            </w:pPr>
            <w:r>
              <w:rPr>
                <w:sz w:val="22"/>
              </w:rPr>
              <w:t>It is anticipated that future predicted demand in mental health will be met if ‘Right Care, Right Person’ is effectively implemented and embedded as a new way of</w:t>
            </w:r>
            <w:r>
              <w:rPr>
                <w:spacing w:val="-5"/>
                <w:sz w:val="22"/>
              </w:rPr>
              <w:t> </w:t>
            </w:r>
            <w:r>
              <w:rPr>
                <w:sz w:val="22"/>
              </w:rPr>
              <w:t>working.</w:t>
            </w:r>
          </w:p>
        </w:tc>
      </w:tr>
      <w:tr>
        <w:trPr>
          <w:trHeight w:val="3738" w:hRule="atLeast"/>
        </w:trPr>
        <w:tc>
          <w:tcPr>
            <w:tcW w:w="1723" w:type="dxa"/>
          </w:tcPr>
          <w:p>
            <w:pPr>
              <w:pStyle w:val="TableParagraph"/>
              <w:ind w:left="107" w:right="79"/>
              <w:rPr>
                <w:sz w:val="22"/>
              </w:rPr>
            </w:pPr>
            <w:r>
              <w:rPr>
                <w:sz w:val="22"/>
              </w:rPr>
              <w:t>6j. Stalking, Harassment and Malicious Communications</w:t>
            </w:r>
          </w:p>
          <w:p>
            <w:pPr>
              <w:pStyle w:val="TableParagraph"/>
              <w:spacing w:before="1"/>
              <w:rPr>
                <w:sz w:val="22"/>
              </w:rPr>
            </w:pPr>
          </w:p>
          <w:p>
            <w:pPr>
              <w:pStyle w:val="TableParagraph"/>
              <w:ind w:left="256"/>
              <w:rPr>
                <w:sz w:val="20"/>
              </w:rPr>
            </w:pPr>
            <w:r>
              <w:rPr>
                <w:sz w:val="20"/>
              </w:rPr>
              <w:drawing>
                <wp:inline distT="0" distB="0" distL="0" distR="0">
                  <wp:extent cx="683133" cy="683132"/>
                  <wp:effectExtent l="0" t="0" r="0" b="0"/>
                  <wp:docPr id="39" name="image22.png"/>
                  <wp:cNvGraphicFramePr>
                    <a:graphicFrameLocks noChangeAspect="1"/>
                  </wp:cNvGraphicFramePr>
                  <a:graphic>
                    <a:graphicData uri="http://schemas.openxmlformats.org/drawingml/2006/picture">
                      <pic:pic>
                        <pic:nvPicPr>
                          <pic:cNvPr id="40" name="image22.png"/>
                          <pic:cNvPicPr/>
                        </pic:nvPicPr>
                        <pic:blipFill>
                          <a:blip r:embed="rId29" cstate="print"/>
                          <a:stretch>
                            <a:fillRect/>
                          </a:stretch>
                        </pic:blipFill>
                        <pic:spPr>
                          <a:xfrm>
                            <a:off x="0" y="0"/>
                            <a:ext cx="683133"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8"/>
              </w:rPr>
            </w:pPr>
          </w:p>
        </w:tc>
        <w:tc>
          <w:tcPr>
            <w:tcW w:w="7769" w:type="dxa"/>
          </w:tcPr>
          <w:p>
            <w:pPr>
              <w:pStyle w:val="TableParagraph"/>
              <w:numPr>
                <w:ilvl w:val="0"/>
                <w:numId w:val="27"/>
              </w:numPr>
              <w:tabs>
                <w:tab w:pos="467" w:val="left" w:leader="none"/>
                <w:tab w:pos="468" w:val="left" w:leader="none"/>
              </w:tabs>
              <w:spacing w:line="240" w:lineRule="auto" w:before="0" w:after="0"/>
              <w:ind w:left="468" w:right="113" w:hanging="360"/>
              <w:jc w:val="left"/>
              <w:rPr>
                <w:sz w:val="22"/>
              </w:rPr>
            </w:pPr>
            <w:r>
              <w:rPr>
                <w:sz w:val="22"/>
              </w:rPr>
              <w:t>In general, volumes of recorded Stalking, Harassment and Malicious Communications crimes, whilst relatively low in North Yorkshire, are showing an increase over time with a predicted year on year average increase of circa 700 crimes.</w:t>
            </w:r>
          </w:p>
          <w:p>
            <w:pPr>
              <w:pStyle w:val="TableParagraph"/>
              <w:numPr>
                <w:ilvl w:val="0"/>
                <w:numId w:val="27"/>
              </w:numPr>
              <w:tabs>
                <w:tab w:pos="469" w:val="left" w:leader="none"/>
              </w:tabs>
              <w:spacing w:line="240" w:lineRule="auto" w:before="0" w:after="0"/>
              <w:ind w:left="468" w:right="368" w:hanging="361"/>
              <w:jc w:val="both"/>
              <w:rPr>
                <w:sz w:val="22"/>
              </w:rPr>
            </w:pPr>
            <w:r>
              <w:rPr>
                <w:sz w:val="22"/>
              </w:rPr>
              <w:t>Stalking and Harassment is one element of the Safeguarding Control strategy priority and sits within the DA tactical plan, this is held accountable to an ACC through the Vulnerability Board.</w:t>
            </w:r>
          </w:p>
          <w:p>
            <w:pPr>
              <w:pStyle w:val="TableParagraph"/>
              <w:numPr>
                <w:ilvl w:val="0"/>
                <w:numId w:val="27"/>
              </w:numPr>
              <w:tabs>
                <w:tab w:pos="468" w:val="left" w:leader="none"/>
                <w:tab w:pos="469" w:val="left" w:leader="none"/>
              </w:tabs>
              <w:spacing w:line="240" w:lineRule="auto" w:before="0" w:after="0"/>
              <w:ind w:left="468" w:right="608" w:hanging="361"/>
              <w:jc w:val="left"/>
              <w:rPr>
                <w:sz w:val="22"/>
              </w:rPr>
            </w:pPr>
            <w:r>
              <w:rPr>
                <w:sz w:val="22"/>
              </w:rPr>
              <w:t>NYP has a small central Stalking Team which provide support and advice to investigators for these</w:t>
            </w:r>
            <w:r>
              <w:rPr>
                <w:spacing w:val="-4"/>
                <w:sz w:val="22"/>
              </w:rPr>
              <w:t> </w:t>
            </w:r>
            <w:r>
              <w:rPr>
                <w:sz w:val="22"/>
              </w:rPr>
              <w:t>offences.</w:t>
            </w:r>
          </w:p>
          <w:p>
            <w:pPr>
              <w:pStyle w:val="TableParagraph"/>
              <w:numPr>
                <w:ilvl w:val="0"/>
                <w:numId w:val="27"/>
              </w:numPr>
              <w:tabs>
                <w:tab w:pos="468" w:val="left" w:leader="none"/>
                <w:tab w:pos="469" w:val="left" w:leader="none"/>
              </w:tabs>
              <w:spacing w:line="240" w:lineRule="auto" w:before="0" w:after="0"/>
              <w:ind w:left="468" w:right="340" w:hanging="361"/>
              <w:jc w:val="left"/>
              <w:rPr>
                <w:sz w:val="22"/>
              </w:rPr>
            </w:pPr>
            <w:r>
              <w:rPr>
                <w:sz w:val="22"/>
              </w:rPr>
              <w:t>The permanent establishment of the temporary S&amp;H Detective Sergeant role has recently been approved, embedding this role within the team will provide the capacity and resilience to train and upskill our response officers and investigators, to better understand the risk from this crime</w:t>
            </w:r>
            <w:r>
              <w:rPr>
                <w:spacing w:val="-11"/>
                <w:sz w:val="22"/>
              </w:rPr>
              <w:t> </w:t>
            </w:r>
            <w:r>
              <w:rPr>
                <w:sz w:val="22"/>
              </w:rPr>
              <w:t>type.</w:t>
            </w:r>
          </w:p>
        </w:tc>
      </w:tr>
    </w:tbl>
    <w:p>
      <w:pPr>
        <w:spacing w:after="0" w:line="240" w:lineRule="auto"/>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2" w:hRule="atLeast"/>
        </w:trPr>
        <w:tc>
          <w:tcPr>
            <w:tcW w:w="9492" w:type="dxa"/>
            <w:gridSpan w:val="2"/>
            <w:shd w:val="clear" w:color="auto" w:fill="88A828"/>
          </w:tcPr>
          <w:p>
            <w:pPr>
              <w:pStyle w:val="TableParagraph"/>
              <w:spacing w:line="323" w:lineRule="exact"/>
              <w:ind w:left="107"/>
              <w:rPr>
                <w:b/>
                <w:sz w:val="28"/>
              </w:rPr>
            </w:pPr>
            <w:r>
              <w:rPr>
                <w:b/>
                <w:color w:val="FFFFFF"/>
                <w:sz w:val="28"/>
              </w:rPr>
              <w:t>Chapter 7: Managing Offenders</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11140" w:hRule="atLeast"/>
        </w:trPr>
        <w:tc>
          <w:tcPr>
            <w:tcW w:w="1697" w:type="dxa"/>
          </w:tcPr>
          <w:p>
            <w:pPr>
              <w:pStyle w:val="TableParagraph"/>
              <w:ind w:left="107" w:right="455"/>
              <w:rPr>
                <w:sz w:val="22"/>
              </w:rPr>
            </w:pPr>
            <w:r>
              <w:rPr>
                <w:sz w:val="22"/>
              </w:rPr>
              <w:t>7. Managing Offenders</w:t>
            </w:r>
          </w:p>
          <w:p>
            <w:pPr>
              <w:pStyle w:val="TableParagraph"/>
              <w:rPr>
                <w:sz w:val="22"/>
              </w:rPr>
            </w:pPr>
          </w:p>
          <w:p>
            <w:pPr>
              <w:pStyle w:val="TableParagraph"/>
              <w:ind w:left="256"/>
              <w:rPr>
                <w:sz w:val="20"/>
              </w:rPr>
            </w:pPr>
            <w:r>
              <w:rPr>
                <w:sz w:val="20"/>
              </w:rPr>
              <w:drawing>
                <wp:inline distT="0" distB="0" distL="0" distR="0">
                  <wp:extent cx="683138" cy="683132"/>
                  <wp:effectExtent l="0" t="0" r="0" b="0"/>
                  <wp:docPr id="41" name="image23.png"/>
                  <wp:cNvGraphicFramePr>
                    <a:graphicFrameLocks noChangeAspect="1"/>
                  </wp:cNvGraphicFramePr>
                  <a:graphic>
                    <a:graphicData uri="http://schemas.openxmlformats.org/drawingml/2006/picture">
                      <pic:pic>
                        <pic:nvPicPr>
                          <pic:cNvPr id="42" name="image23.png"/>
                          <pic:cNvPicPr/>
                        </pic:nvPicPr>
                        <pic:blipFill>
                          <a:blip r:embed="rId30" cstate="print"/>
                          <a:stretch>
                            <a:fillRect/>
                          </a:stretch>
                        </pic:blipFill>
                        <pic:spPr>
                          <a:xfrm>
                            <a:off x="0" y="0"/>
                            <a:ext cx="683138"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18"/>
              </w:rPr>
            </w:pPr>
          </w:p>
        </w:tc>
        <w:tc>
          <w:tcPr>
            <w:tcW w:w="7795" w:type="dxa"/>
          </w:tcPr>
          <w:p>
            <w:pPr>
              <w:pStyle w:val="TableParagraph"/>
              <w:numPr>
                <w:ilvl w:val="0"/>
                <w:numId w:val="28"/>
              </w:numPr>
              <w:tabs>
                <w:tab w:pos="467" w:val="left" w:leader="none"/>
                <w:tab w:pos="468" w:val="left" w:leader="none"/>
              </w:tabs>
              <w:spacing w:line="240" w:lineRule="auto" w:before="0" w:after="0"/>
              <w:ind w:left="467" w:right="136" w:hanging="360"/>
              <w:jc w:val="left"/>
              <w:rPr>
                <w:sz w:val="22"/>
              </w:rPr>
            </w:pPr>
            <w:r>
              <w:rPr>
                <w:sz w:val="22"/>
              </w:rPr>
              <w:t>Currently, North Yorkshire Police have around 1,250 registered sex offenders which includes offenders who are incarcerated and/or abroad. There are approximately 850 registered sex offenders who are managed in the community by the Offender Management Unit and the Probation</w:t>
            </w:r>
            <w:r>
              <w:rPr>
                <w:spacing w:val="-11"/>
                <w:sz w:val="22"/>
              </w:rPr>
              <w:t> </w:t>
            </w:r>
            <w:r>
              <w:rPr>
                <w:sz w:val="22"/>
              </w:rPr>
              <w:t>Service.</w:t>
            </w:r>
          </w:p>
          <w:p>
            <w:pPr>
              <w:pStyle w:val="TableParagraph"/>
              <w:numPr>
                <w:ilvl w:val="0"/>
                <w:numId w:val="28"/>
              </w:numPr>
              <w:tabs>
                <w:tab w:pos="467" w:val="left" w:leader="none"/>
                <w:tab w:pos="468" w:val="left" w:leader="none"/>
              </w:tabs>
              <w:spacing w:line="240" w:lineRule="auto" w:before="0" w:after="0"/>
              <w:ind w:left="467" w:right="204" w:hanging="361"/>
              <w:jc w:val="left"/>
              <w:rPr>
                <w:sz w:val="22"/>
              </w:rPr>
            </w:pPr>
            <w:r>
              <w:rPr>
                <w:sz w:val="22"/>
              </w:rPr>
              <w:t>It is anticipated that there will be an ongoing increase of between 60 to 70 registered sex offenders </w:t>
            </w:r>
            <w:r>
              <w:rPr>
                <w:spacing w:val="-2"/>
                <w:sz w:val="22"/>
              </w:rPr>
              <w:t>per </w:t>
            </w:r>
            <w:r>
              <w:rPr>
                <w:sz w:val="22"/>
              </w:rPr>
              <w:t>annum based on the local figures over the past ten years.</w:t>
            </w:r>
          </w:p>
          <w:p>
            <w:pPr>
              <w:pStyle w:val="TableParagraph"/>
              <w:numPr>
                <w:ilvl w:val="0"/>
                <w:numId w:val="28"/>
              </w:numPr>
              <w:tabs>
                <w:tab w:pos="467" w:val="left" w:leader="none"/>
                <w:tab w:pos="468" w:val="left" w:leader="none"/>
              </w:tabs>
              <w:spacing w:line="240" w:lineRule="auto" w:before="0" w:after="0"/>
              <w:ind w:left="467" w:right="314" w:hanging="361"/>
              <w:jc w:val="left"/>
              <w:rPr>
                <w:sz w:val="22"/>
              </w:rPr>
            </w:pPr>
            <w:r>
              <w:rPr>
                <w:sz w:val="22"/>
              </w:rPr>
              <w:t>A snapshot of the assessed risk levels of registered sex offenders in North Yorkshire for 2022/23 indicates 3% are assessed as very high risk, 20% have been assessed as high risk, 50% as medium risk with a further 27% assessed as low risk.</w:t>
            </w:r>
          </w:p>
          <w:p>
            <w:pPr>
              <w:pStyle w:val="TableParagraph"/>
              <w:numPr>
                <w:ilvl w:val="0"/>
                <w:numId w:val="28"/>
              </w:numPr>
              <w:tabs>
                <w:tab w:pos="468" w:val="left" w:leader="none"/>
                <w:tab w:pos="469" w:val="left" w:leader="none"/>
              </w:tabs>
              <w:spacing w:line="240" w:lineRule="auto" w:before="0" w:after="0"/>
              <w:ind w:left="468" w:right="170" w:hanging="361"/>
              <w:jc w:val="left"/>
              <w:rPr>
                <w:sz w:val="22"/>
              </w:rPr>
            </w:pPr>
            <w:r>
              <w:rPr>
                <w:sz w:val="22"/>
              </w:rPr>
              <w:t>Registered sex offenders are eligible to apply for removal from the register but are subject of a thorough review. In North Yorkshire the number removed from the register is extremely</w:t>
            </w:r>
            <w:r>
              <w:rPr>
                <w:spacing w:val="-1"/>
                <w:sz w:val="22"/>
              </w:rPr>
              <w:t> </w:t>
            </w:r>
            <w:r>
              <w:rPr>
                <w:sz w:val="22"/>
              </w:rPr>
              <w:t>low.</w:t>
            </w:r>
          </w:p>
          <w:p>
            <w:pPr>
              <w:pStyle w:val="TableParagraph"/>
              <w:numPr>
                <w:ilvl w:val="0"/>
                <w:numId w:val="28"/>
              </w:numPr>
              <w:tabs>
                <w:tab w:pos="468" w:val="left" w:leader="none"/>
                <w:tab w:pos="469" w:val="left" w:leader="none"/>
              </w:tabs>
              <w:spacing w:line="240" w:lineRule="auto" w:before="0" w:after="0"/>
              <w:ind w:left="468" w:right="276" w:hanging="361"/>
              <w:jc w:val="left"/>
              <w:rPr>
                <w:sz w:val="22"/>
              </w:rPr>
            </w:pPr>
            <w:r>
              <w:rPr>
                <w:sz w:val="22"/>
              </w:rPr>
              <w:t>With the increasing number of registered sex offenders and other violent and dangerous offenders there is an associated anticipated increase in Sarah’s Law disclosures to identify those people who have contact with a child has a record of child.</w:t>
            </w:r>
          </w:p>
          <w:p>
            <w:pPr>
              <w:pStyle w:val="TableParagraph"/>
              <w:numPr>
                <w:ilvl w:val="0"/>
                <w:numId w:val="28"/>
              </w:numPr>
              <w:tabs>
                <w:tab w:pos="468" w:val="left" w:leader="none"/>
                <w:tab w:pos="469" w:val="left" w:leader="none"/>
              </w:tabs>
              <w:spacing w:line="240" w:lineRule="auto" w:before="0" w:after="0"/>
              <w:ind w:left="468" w:right="296" w:hanging="361"/>
              <w:jc w:val="left"/>
              <w:rPr>
                <w:sz w:val="22"/>
              </w:rPr>
            </w:pPr>
            <w:r>
              <w:rPr>
                <w:sz w:val="22"/>
              </w:rPr>
              <w:t>North Yorkshire Police currently have 71 Offenders on the IOM Scheme. Capacity will increase throughout 2023/24 as a direct result of restructure and uplift of resources. Six IOM police officers will manage the IOM Cohort only. They will bring additional offenders into the Scheme subject to a total capacity of 120. Capacity will also be determined by the Probation</w:t>
            </w:r>
            <w:r>
              <w:rPr>
                <w:spacing w:val="-11"/>
                <w:sz w:val="22"/>
              </w:rPr>
              <w:t> </w:t>
            </w:r>
            <w:r>
              <w:rPr>
                <w:sz w:val="22"/>
              </w:rPr>
              <w:t>Service.</w:t>
            </w:r>
          </w:p>
          <w:p>
            <w:pPr>
              <w:pStyle w:val="TableParagraph"/>
              <w:numPr>
                <w:ilvl w:val="0"/>
                <w:numId w:val="28"/>
              </w:numPr>
              <w:tabs>
                <w:tab w:pos="469" w:val="left" w:leader="none"/>
              </w:tabs>
              <w:spacing w:line="240" w:lineRule="auto" w:before="0" w:after="0"/>
              <w:ind w:left="468" w:right="436" w:hanging="361"/>
              <w:jc w:val="both"/>
              <w:rPr>
                <w:sz w:val="22"/>
              </w:rPr>
            </w:pPr>
            <w:r>
              <w:rPr>
                <w:sz w:val="22"/>
              </w:rPr>
              <w:t>Following the PEEL and NCPI inspections, a number of areas of improvement were identified within Offender Management and are included in the Force’s NCPI Action and Improvement</w:t>
            </w:r>
            <w:r>
              <w:rPr>
                <w:spacing w:val="-2"/>
                <w:sz w:val="22"/>
              </w:rPr>
              <w:t> </w:t>
            </w:r>
            <w:r>
              <w:rPr>
                <w:sz w:val="22"/>
              </w:rPr>
              <w:t>Plans.</w:t>
            </w:r>
          </w:p>
          <w:p>
            <w:pPr>
              <w:pStyle w:val="TableParagraph"/>
              <w:numPr>
                <w:ilvl w:val="0"/>
                <w:numId w:val="28"/>
              </w:numPr>
              <w:tabs>
                <w:tab w:pos="468" w:val="left" w:leader="none"/>
                <w:tab w:pos="469" w:val="left" w:leader="none"/>
              </w:tabs>
              <w:spacing w:line="240" w:lineRule="auto" w:before="0" w:after="0"/>
              <w:ind w:left="468" w:right="244" w:hanging="360"/>
              <w:jc w:val="left"/>
              <w:rPr>
                <w:sz w:val="22"/>
              </w:rPr>
            </w:pPr>
            <w:r>
              <w:rPr>
                <w:sz w:val="22"/>
              </w:rPr>
              <w:t>The force currently has omni-competent OMs who manage both registered sex offenders and IOM caseload however, North Yorkshire Police is planning to change this. Each Offender Manager will manage a cohort of approximately 48 registered sex</w:t>
            </w:r>
            <w:r>
              <w:rPr>
                <w:spacing w:val="-6"/>
                <w:sz w:val="22"/>
              </w:rPr>
              <w:t> </w:t>
            </w:r>
            <w:r>
              <w:rPr>
                <w:sz w:val="22"/>
              </w:rPr>
              <w:t>offenders.</w:t>
            </w:r>
          </w:p>
          <w:p>
            <w:pPr>
              <w:pStyle w:val="TableParagraph"/>
              <w:numPr>
                <w:ilvl w:val="0"/>
                <w:numId w:val="28"/>
              </w:numPr>
              <w:tabs>
                <w:tab w:pos="468" w:val="left" w:leader="none"/>
                <w:tab w:pos="469" w:val="left" w:leader="none"/>
              </w:tabs>
              <w:spacing w:line="240" w:lineRule="auto" w:before="0" w:after="0"/>
              <w:ind w:left="468" w:right="110" w:hanging="361"/>
              <w:jc w:val="left"/>
              <w:rPr>
                <w:sz w:val="22"/>
              </w:rPr>
            </w:pPr>
            <w:r>
              <w:rPr>
                <w:sz w:val="22"/>
              </w:rPr>
              <w:t>In January 2023, following a review of central safeguarding functions, an uplift in resources was approved including a number of police officer and police staff posts within the Offender Management Unit. The Offender Unit will be split into 2 distinctive functions recognising the different specialised approaches to managing MOSOVO and those on the IOM cohort. These changes are being implemented throughout</w:t>
            </w:r>
            <w:r>
              <w:rPr>
                <w:spacing w:val="-4"/>
                <w:sz w:val="22"/>
              </w:rPr>
              <w:t> </w:t>
            </w:r>
            <w:r>
              <w:rPr>
                <w:sz w:val="22"/>
              </w:rPr>
              <w:t>2023/24.</w:t>
            </w:r>
          </w:p>
          <w:p>
            <w:pPr>
              <w:pStyle w:val="TableParagraph"/>
              <w:numPr>
                <w:ilvl w:val="0"/>
                <w:numId w:val="28"/>
              </w:numPr>
              <w:tabs>
                <w:tab w:pos="468" w:val="left" w:leader="none"/>
                <w:tab w:pos="469" w:val="left" w:leader="none"/>
              </w:tabs>
              <w:spacing w:line="240" w:lineRule="auto" w:before="0" w:after="0"/>
              <w:ind w:left="468" w:right="159" w:hanging="361"/>
              <w:jc w:val="left"/>
              <w:rPr>
                <w:sz w:val="22"/>
              </w:rPr>
            </w:pPr>
            <w:r>
              <w:rPr>
                <w:sz w:val="22"/>
              </w:rPr>
              <w:t>This is recognised both locally and nationally as a growing demand area of policing, particularly with the increase in the sharing of indecent images and on- line offending. Failure to constantly review the resourcing requirements may increase the risk of opportunities for offenders to</w:t>
            </w:r>
            <w:r>
              <w:rPr>
                <w:spacing w:val="-13"/>
                <w:sz w:val="22"/>
              </w:rPr>
              <w:t> </w:t>
            </w:r>
            <w:r>
              <w:rPr>
                <w:sz w:val="22"/>
              </w:rPr>
              <w:t>re-offend.</w:t>
            </w:r>
          </w:p>
        </w:tc>
      </w:tr>
    </w:tbl>
    <w:p>
      <w:pPr>
        <w:pStyle w:val="BodyText"/>
        <w:spacing w:before="4"/>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0" w:hRule="atLeast"/>
        </w:trPr>
        <w:tc>
          <w:tcPr>
            <w:tcW w:w="9492" w:type="dxa"/>
            <w:gridSpan w:val="2"/>
            <w:shd w:val="clear" w:color="auto" w:fill="E21E23"/>
          </w:tcPr>
          <w:p>
            <w:pPr>
              <w:pStyle w:val="TableParagraph"/>
              <w:spacing w:line="320" w:lineRule="exact"/>
              <w:ind w:left="107"/>
              <w:rPr>
                <w:b/>
                <w:sz w:val="28"/>
              </w:rPr>
            </w:pPr>
            <w:r>
              <w:rPr>
                <w:b/>
                <w:color w:val="FFFFFF"/>
                <w:sz w:val="28"/>
              </w:rPr>
              <w:t>Chapter 8: Managing Serious and Organised Crime</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1074" w:hRule="atLeast"/>
        </w:trPr>
        <w:tc>
          <w:tcPr>
            <w:tcW w:w="1697" w:type="dxa"/>
          </w:tcPr>
          <w:p>
            <w:pPr>
              <w:pStyle w:val="TableParagraph"/>
              <w:ind w:left="107" w:right="470"/>
              <w:jc w:val="both"/>
              <w:rPr>
                <w:sz w:val="22"/>
              </w:rPr>
            </w:pPr>
            <w:r>
              <w:rPr>
                <w:sz w:val="22"/>
              </w:rPr>
              <w:t>8. Managing Serious and Organised</w:t>
            </w:r>
          </w:p>
          <w:p>
            <w:pPr>
              <w:pStyle w:val="TableParagraph"/>
              <w:spacing w:line="249" w:lineRule="exact"/>
              <w:ind w:left="107"/>
              <w:rPr>
                <w:sz w:val="22"/>
              </w:rPr>
            </w:pPr>
            <w:r>
              <w:rPr>
                <w:sz w:val="22"/>
              </w:rPr>
              <w:t>Crime</w:t>
            </w:r>
          </w:p>
        </w:tc>
        <w:tc>
          <w:tcPr>
            <w:tcW w:w="7795" w:type="dxa"/>
          </w:tcPr>
          <w:p>
            <w:pPr>
              <w:pStyle w:val="TableParagraph"/>
              <w:numPr>
                <w:ilvl w:val="0"/>
                <w:numId w:val="29"/>
              </w:numPr>
              <w:tabs>
                <w:tab w:pos="467" w:val="left" w:leader="none"/>
                <w:tab w:pos="468" w:val="left" w:leader="none"/>
              </w:tabs>
              <w:spacing w:line="240" w:lineRule="auto" w:before="0" w:after="0"/>
              <w:ind w:left="467" w:right="291" w:hanging="360"/>
              <w:jc w:val="left"/>
              <w:rPr>
                <w:sz w:val="22"/>
              </w:rPr>
            </w:pPr>
            <w:r>
              <w:rPr>
                <w:sz w:val="22"/>
              </w:rPr>
              <w:t>North Yorkshire Police works with Yorkshire &amp; the Humber Regional Organised Crime Threat Assessment Team (Y&amp;H, ROCTA), which operates across four regional police boundaries to identify and disrupt organised</w:t>
            </w:r>
            <w:r>
              <w:rPr>
                <w:spacing w:val="-14"/>
                <w:sz w:val="22"/>
              </w:rPr>
              <w:t> </w:t>
            </w:r>
            <w:r>
              <w:rPr>
                <w:sz w:val="22"/>
              </w:rPr>
              <w:t>criminality.</w:t>
            </w:r>
          </w:p>
        </w:tc>
      </w:tr>
    </w:tbl>
    <w:p>
      <w:pPr>
        <w:spacing w:after="0" w:line="240" w:lineRule="auto"/>
        <w:jc w:val="left"/>
        <w:rPr>
          <w:sz w:val="22"/>
        </w:rPr>
        <w:sectPr>
          <w:pgSz w:w="11910" w:h="16840"/>
          <w:pgMar w:header="0" w:footer="443" w:top="136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3871" w:hRule="atLeast"/>
        </w:trPr>
        <w:tc>
          <w:tcPr>
            <w:tcW w:w="1697" w:type="dxa"/>
          </w:tcPr>
          <w:p>
            <w:pPr>
              <w:pStyle w:val="TableParagraph"/>
              <w:spacing w:before="11"/>
              <w:rPr>
                <w:sz w:val="21"/>
              </w:rPr>
            </w:pPr>
          </w:p>
          <w:p>
            <w:pPr>
              <w:pStyle w:val="TableParagraph"/>
              <w:ind w:left="256"/>
              <w:rPr>
                <w:sz w:val="20"/>
              </w:rPr>
            </w:pPr>
            <w:r>
              <w:rPr>
                <w:sz w:val="20"/>
              </w:rPr>
              <w:drawing>
                <wp:inline distT="0" distB="0" distL="0" distR="0">
                  <wp:extent cx="683142" cy="683132"/>
                  <wp:effectExtent l="0" t="0" r="0" b="0"/>
                  <wp:docPr id="43" name="image24.png"/>
                  <wp:cNvGraphicFramePr>
                    <a:graphicFrameLocks noChangeAspect="1"/>
                  </wp:cNvGraphicFramePr>
                  <a:graphic>
                    <a:graphicData uri="http://schemas.openxmlformats.org/drawingml/2006/picture">
                      <pic:pic>
                        <pic:nvPicPr>
                          <pic:cNvPr id="44" name="image24.png"/>
                          <pic:cNvPicPr/>
                        </pic:nvPicPr>
                        <pic:blipFill>
                          <a:blip r:embed="rId31" cstate="print"/>
                          <a:stretch>
                            <a:fillRect/>
                          </a:stretch>
                        </pic:blipFill>
                        <pic:spPr>
                          <a:xfrm>
                            <a:off x="0" y="0"/>
                            <a:ext cx="683142" cy="683132"/>
                          </a:xfrm>
                          <a:prstGeom prst="rect">
                            <a:avLst/>
                          </a:prstGeom>
                        </pic:spPr>
                      </pic:pic>
                    </a:graphicData>
                  </a:graphic>
                </wp:inline>
              </w:drawing>
            </w:r>
            <w:r>
              <w:rPr>
                <w:sz w:val="20"/>
              </w:rPr>
            </w:r>
          </w:p>
        </w:tc>
        <w:tc>
          <w:tcPr>
            <w:tcW w:w="7795" w:type="dxa"/>
          </w:tcPr>
          <w:p>
            <w:pPr>
              <w:pStyle w:val="TableParagraph"/>
              <w:numPr>
                <w:ilvl w:val="0"/>
                <w:numId w:val="30"/>
              </w:numPr>
              <w:tabs>
                <w:tab w:pos="467" w:val="left" w:leader="none"/>
                <w:tab w:pos="468" w:val="left" w:leader="none"/>
              </w:tabs>
              <w:spacing w:line="240" w:lineRule="auto" w:before="0" w:after="0"/>
              <w:ind w:left="467" w:right="104" w:hanging="360"/>
              <w:jc w:val="left"/>
              <w:rPr>
                <w:sz w:val="22"/>
              </w:rPr>
            </w:pPr>
            <w:r>
              <w:rPr>
                <w:sz w:val="22"/>
              </w:rPr>
              <w:t>Demand linked to Serious Organised Crime (SOC) is increasing, remains a priority and is managed through the 4P</w:t>
            </w:r>
            <w:r>
              <w:rPr>
                <w:spacing w:val="-4"/>
                <w:sz w:val="22"/>
              </w:rPr>
              <w:t> </w:t>
            </w:r>
            <w:r>
              <w:rPr>
                <w:sz w:val="22"/>
              </w:rPr>
              <w:t>process.</w:t>
            </w:r>
          </w:p>
          <w:p>
            <w:pPr>
              <w:pStyle w:val="TableParagraph"/>
              <w:numPr>
                <w:ilvl w:val="0"/>
                <w:numId w:val="30"/>
              </w:numPr>
              <w:tabs>
                <w:tab w:pos="467" w:val="left" w:leader="none"/>
                <w:tab w:pos="468" w:val="left" w:leader="none"/>
              </w:tabs>
              <w:spacing w:line="240" w:lineRule="auto" w:before="0" w:after="0"/>
              <w:ind w:left="467" w:right="124" w:hanging="361"/>
              <w:jc w:val="left"/>
              <w:rPr>
                <w:sz w:val="22"/>
              </w:rPr>
            </w:pPr>
            <w:r>
              <w:rPr>
                <w:sz w:val="22"/>
              </w:rPr>
              <w:t>SOC risk is managed through the Organised Crime Group Threat Meeting with each SOC risk being managed within the force with DCI oversite and allocated Local Responsible Officers at the rank of Inspector. Each SOC risk group is scored against MoRiLE through Agency and Partner Management Information System (APMIS) and reviewed by the SOC PIP 2 Investigating Officer. Each SOC risk group is allocated and reviewed by a Financial Investigator or Supervisor overseen by the Local Force and connected with the Region through our Organised Crime Group (OCG) Senior Analyst and</w:t>
            </w:r>
            <w:r>
              <w:rPr>
                <w:spacing w:val="-6"/>
                <w:sz w:val="22"/>
              </w:rPr>
              <w:t> </w:t>
            </w:r>
            <w:r>
              <w:rPr>
                <w:sz w:val="22"/>
              </w:rPr>
              <w:t>Coordinator.</w:t>
            </w:r>
          </w:p>
          <w:p>
            <w:pPr>
              <w:pStyle w:val="TableParagraph"/>
              <w:numPr>
                <w:ilvl w:val="0"/>
                <w:numId w:val="30"/>
              </w:numPr>
              <w:tabs>
                <w:tab w:pos="467" w:val="left" w:leader="none"/>
                <w:tab w:pos="468" w:val="left" w:leader="none"/>
              </w:tabs>
              <w:spacing w:line="240" w:lineRule="auto" w:before="0" w:after="0"/>
              <w:ind w:left="467" w:right="286" w:hanging="361"/>
              <w:jc w:val="left"/>
              <w:rPr>
                <w:sz w:val="22"/>
              </w:rPr>
            </w:pPr>
            <w:r>
              <w:rPr>
                <w:sz w:val="22"/>
              </w:rPr>
              <w:t>Supporting the SOC function is the North Yorkshire Serious Organised Crime (NYSOC) Meeting which brings together the Force Intelligence Function, ANPR, Organised Crime Unit, Specialist Services and Economic Crime to best trouble shoot and combat the SOC issue</w:t>
            </w:r>
            <w:r>
              <w:rPr>
                <w:spacing w:val="-1"/>
                <w:sz w:val="22"/>
              </w:rPr>
              <w:t> </w:t>
            </w:r>
            <w:r>
              <w:rPr>
                <w:sz w:val="22"/>
              </w:rPr>
              <w:t>holistically.</w:t>
            </w:r>
          </w:p>
          <w:p>
            <w:pPr>
              <w:pStyle w:val="TableParagraph"/>
              <w:numPr>
                <w:ilvl w:val="0"/>
                <w:numId w:val="30"/>
              </w:numPr>
              <w:tabs>
                <w:tab w:pos="467" w:val="left" w:leader="none"/>
                <w:tab w:pos="468" w:val="left" w:leader="none"/>
              </w:tabs>
              <w:spacing w:line="240" w:lineRule="auto" w:before="0" w:after="0"/>
              <w:ind w:left="467" w:right="177" w:hanging="361"/>
              <w:jc w:val="left"/>
              <w:rPr>
                <w:sz w:val="22"/>
              </w:rPr>
            </w:pPr>
            <w:r>
              <w:rPr>
                <w:sz w:val="22"/>
              </w:rPr>
              <w:t>Clear, Hold, Build (CHB) is a new three phase operational framework to improve the multi-agency response to tackling the totality of the SOC threat, OCGs and the vulnerabilities and drivers they exploit within</w:t>
            </w:r>
            <w:r>
              <w:rPr>
                <w:spacing w:val="-6"/>
                <w:sz w:val="22"/>
              </w:rPr>
              <w:t> </w:t>
            </w:r>
            <w:r>
              <w:rPr>
                <w:sz w:val="22"/>
              </w:rPr>
              <w:t>communities.</w:t>
            </w:r>
          </w:p>
          <w:p>
            <w:pPr>
              <w:pStyle w:val="TableParagraph"/>
              <w:numPr>
                <w:ilvl w:val="0"/>
                <w:numId w:val="30"/>
              </w:numPr>
              <w:tabs>
                <w:tab w:pos="467" w:val="left" w:leader="none"/>
                <w:tab w:pos="468" w:val="left" w:leader="none"/>
              </w:tabs>
              <w:spacing w:line="240" w:lineRule="auto" w:before="0" w:after="0"/>
              <w:ind w:left="467" w:right="125" w:hanging="361"/>
              <w:jc w:val="left"/>
              <w:rPr>
                <w:sz w:val="22"/>
              </w:rPr>
            </w:pPr>
            <w:r>
              <w:rPr>
                <w:sz w:val="22"/>
              </w:rPr>
              <w:t>North Yorkshire Police record OCG disruptions on a quarterly basis, each quarter is seeing an increase which highlights the proactive targeting and disruption of organised crime in North</w:t>
            </w:r>
            <w:r>
              <w:rPr>
                <w:spacing w:val="-6"/>
                <w:sz w:val="22"/>
              </w:rPr>
              <w:t> </w:t>
            </w:r>
            <w:r>
              <w:rPr>
                <w:sz w:val="22"/>
              </w:rPr>
              <w:t>Yorkshire.</w:t>
            </w:r>
          </w:p>
          <w:p>
            <w:pPr>
              <w:pStyle w:val="TableParagraph"/>
              <w:numPr>
                <w:ilvl w:val="0"/>
                <w:numId w:val="30"/>
              </w:numPr>
              <w:tabs>
                <w:tab w:pos="468" w:val="left" w:leader="none"/>
                <w:tab w:pos="469" w:val="left" w:leader="none"/>
              </w:tabs>
              <w:spacing w:line="240" w:lineRule="auto" w:before="0" w:after="0"/>
              <w:ind w:left="468" w:right="555" w:hanging="361"/>
              <w:jc w:val="left"/>
              <w:rPr>
                <w:sz w:val="22"/>
              </w:rPr>
            </w:pPr>
            <w:r>
              <w:rPr>
                <w:sz w:val="22"/>
              </w:rPr>
              <w:t>North Yorkshire Police continue to collaborate with Partner Agencies to maximise Prepare, Protect and Prevent disruptions through the Partnership Disruption meeting, SOCLPs and SOC</w:t>
            </w:r>
            <w:r>
              <w:rPr>
                <w:spacing w:val="-6"/>
                <w:sz w:val="22"/>
              </w:rPr>
              <w:t> </w:t>
            </w:r>
            <w:r>
              <w:rPr>
                <w:sz w:val="22"/>
              </w:rPr>
              <w:t>Board.</w:t>
            </w:r>
          </w:p>
          <w:p>
            <w:pPr>
              <w:pStyle w:val="TableParagraph"/>
              <w:numPr>
                <w:ilvl w:val="0"/>
                <w:numId w:val="30"/>
              </w:numPr>
              <w:tabs>
                <w:tab w:pos="468" w:val="left" w:leader="none"/>
                <w:tab w:pos="469" w:val="left" w:leader="none"/>
              </w:tabs>
              <w:spacing w:line="240" w:lineRule="auto" w:before="0" w:after="0"/>
              <w:ind w:left="468" w:right="396" w:hanging="361"/>
              <w:jc w:val="left"/>
              <w:rPr>
                <w:sz w:val="22"/>
              </w:rPr>
            </w:pPr>
            <w:r>
              <w:rPr>
                <w:sz w:val="22"/>
              </w:rPr>
              <w:t>Cuckooing remains one of the highest threats to vulnerable individuals within County Lines criminality as drug dealers take over the home addresses of vulnerable people and no significant changes to the threat from County Lines are expected in the short to medium</w:t>
            </w:r>
            <w:r>
              <w:rPr>
                <w:spacing w:val="-4"/>
                <w:sz w:val="22"/>
              </w:rPr>
              <w:t> </w:t>
            </w:r>
            <w:r>
              <w:rPr>
                <w:sz w:val="22"/>
              </w:rPr>
              <w:t>term.</w:t>
            </w:r>
          </w:p>
          <w:p>
            <w:pPr>
              <w:pStyle w:val="TableParagraph"/>
              <w:numPr>
                <w:ilvl w:val="0"/>
                <w:numId w:val="30"/>
              </w:numPr>
              <w:tabs>
                <w:tab w:pos="468" w:val="left" w:leader="none"/>
                <w:tab w:pos="469" w:val="left" w:leader="none"/>
              </w:tabs>
              <w:spacing w:line="240" w:lineRule="auto" w:before="0" w:after="0"/>
              <w:ind w:left="468" w:right="182" w:hanging="361"/>
              <w:jc w:val="left"/>
              <w:rPr>
                <w:sz w:val="22"/>
              </w:rPr>
            </w:pPr>
            <w:r>
              <w:rPr>
                <w:sz w:val="22"/>
              </w:rPr>
              <w:t>The harm caused by the supply of drugs is not limited to the commission of the offences, but both dependent and recreational drug use are known to be causal factors in relation to drug-related deaths, violent crime, child neglect, domestic abuse and road</w:t>
            </w:r>
            <w:r>
              <w:rPr>
                <w:spacing w:val="-4"/>
                <w:sz w:val="22"/>
              </w:rPr>
              <w:t> </w:t>
            </w:r>
            <w:r>
              <w:rPr>
                <w:sz w:val="22"/>
              </w:rPr>
              <w:t>safety.</w:t>
            </w:r>
          </w:p>
          <w:p>
            <w:pPr>
              <w:pStyle w:val="TableParagraph"/>
              <w:numPr>
                <w:ilvl w:val="0"/>
                <w:numId w:val="30"/>
              </w:numPr>
              <w:tabs>
                <w:tab w:pos="468" w:val="left" w:leader="none"/>
                <w:tab w:pos="469" w:val="left" w:leader="none"/>
              </w:tabs>
              <w:spacing w:line="240" w:lineRule="auto" w:before="0" w:after="0"/>
              <w:ind w:left="468" w:right="319" w:hanging="361"/>
              <w:jc w:val="left"/>
              <w:rPr>
                <w:sz w:val="22"/>
              </w:rPr>
            </w:pPr>
            <w:r>
              <w:rPr>
                <w:sz w:val="22"/>
              </w:rPr>
              <w:t>No significant changes to the threat from criminal exploitation are expected in the short to medium term however emerging threats are apparent nationally within the virtual reality metaverses as usage increases, with those already engaged reporting sexual exploitation and sexual</w:t>
            </w:r>
            <w:r>
              <w:rPr>
                <w:spacing w:val="-7"/>
                <w:sz w:val="22"/>
              </w:rPr>
              <w:t> </w:t>
            </w:r>
            <w:r>
              <w:rPr>
                <w:sz w:val="22"/>
              </w:rPr>
              <w:t>harassment.</w:t>
            </w:r>
          </w:p>
          <w:p>
            <w:pPr>
              <w:pStyle w:val="TableParagraph"/>
              <w:numPr>
                <w:ilvl w:val="0"/>
                <w:numId w:val="30"/>
              </w:numPr>
              <w:tabs>
                <w:tab w:pos="468" w:val="left" w:leader="none"/>
                <w:tab w:pos="469" w:val="left" w:leader="none"/>
              </w:tabs>
              <w:spacing w:line="240" w:lineRule="auto" w:before="0" w:after="0"/>
              <w:ind w:left="468" w:right="158" w:hanging="361"/>
              <w:jc w:val="left"/>
              <w:rPr>
                <w:sz w:val="22"/>
              </w:rPr>
            </w:pPr>
            <w:r>
              <w:rPr>
                <w:sz w:val="22"/>
              </w:rPr>
              <w:t>Serious and Organised Crime remains a Control Strategy theme with associated strategic and tactical delivery plans and Strategic Leads are held accountable for delivery against those</w:t>
            </w:r>
            <w:r>
              <w:rPr>
                <w:spacing w:val="-1"/>
                <w:sz w:val="22"/>
              </w:rPr>
              <w:t> </w:t>
            </w:r>
            <w:r>
              <w:rPr>
                <w:sz w:val="22"/>
              </w:rPr>
              <w:t>plans.</w:t>
            </w:r>
          </w:p>
          <w:p>
            <w:pPr>
              <w:pStyle w:val="TableParagraph"/>
              <w:numPr>
                <w:ilvl w:val="0"/>
                <w:numId w:val="30"/>
              </w:numPr>
              <w:tabs>
                <w:tab w:pos="468" w:val="left" w:leader="none"/>
                <w:tab w:pos="470" w:val="left" w:leader="none"/>
              </w:tabs>
              <w:spacing w:line="240" w:lineRule="auto" w:before="0" w:after="0"/>
              <w:ind w:left="469" w:right="221" w:hanging="361"/>
              <w:jc w:val="left"/>
              <w:rPr>
                <w:sz w:val="22"/>
              </w:rPr>
            </w:pPr>
            <w:r>
              <w:rPr>
                <w:sz w:val="22"/>
              </w:rPr>
              <w:t>Twenty OCGs now have an ‘OCG on a page’ document, which highlights the</w:t>
            </w:r>
            <w:r>
              <w:rPr>
                <w:spacing w:val="-27"/>
                <w:sz w:val="22"/>
              </w:rPr>
              <w:t> </w:t>
            </w:r>
            <w:r>
              <w:rPr>
                <w:sz w:val="22"/>
              </w:rPr>
              <w:t>key features of and threats from that</w:t>
            </w:r>
            <w:r>
              <w:rPr>
                <w:spacing w:val="-5"/>
                <w:sz w:val="22"/>
              </w:rPr>
              <w:t> </w:t>
            </w:r>
            <w:r>
              <w:rPr>
                <w:sz w:val="22"/>
              </w:rPr>
              <w:t>OCG.</w:t>
            </w:r>
          </w:p>
          <w:p>
            <w:pPr>
              <w:pStyle w:val="TableParagraph"/>
              <w:numPr>
                <w:ilvl w:val="0"/>
                <w:numId w:val="30"/>
              </w:numPr>
              <w:tabs>
                <w:tab w:pos="469" w:val="left" w:leader="none"/>
                <w:tab w:pos="470" w:val="left" w:leader="none"/>
              </w:tabs>
              <w:spacing w:line="240" w:lineRule="auto" w:before="0" w:after="0"/>
              <w:ind w:left="469" w:right="731" w:hanging="361"/>
              <w:jc w:val="left"/>
              <w:rPr>
                <w:sz w:val="22"/>
              </w:rPr>
            </w:pPr>
            <w:r>
              <w:rPr>
                <w:sz w:val="22"/>
              </w:rPr>
              <w:t>North Yorkshire have an established SOC Partnership Board under Project Alliance branding, with partner agencies, to encourage the sharing of information relating to</w:t>
            </w:r>
            <w:r>
              <w:rPr>
                <w:spacing w:val="-2"/>
                <w:sz w:val="22"/>
              </w:rPr>
              <w:t> </w:t>
            </w:r>
            <w:r>
              <w:rPr>
                <w:sz w:val="22"/>
              </w:rPr>
              <w:t>SOC.</w:t>
            </w:r>
          </w:p>
          <w:p>
            <w:pPr>
              <w:pStyle w:val="TableParagraph"/>
              <w:numPr>
                <w:ilvl w:val="0"/>
                <w:numId w:val="30"/>
              </w:numPr>
              <w:tabs>
                <w:tab w:pos="469" w:val="left" w:leader="none"/>
                <w:tab w:pos="470" w:val="left" w:leader="none"/>
              </w:tabs>
              <w:spacing w:line="237" w:lineRule="auto" w:before="0" w:after="0"/>
              <w:ind w:left="469" w:right="717" w:hanging="361"/>
              <w:jc w:val="left"/>
              <w:rPr>
                <w:sz w:val="22"/>
              </w:rPr>
            </w:pPr>
            <w:r>
              <w:rPr>
                <w:sz w:val="22"/>
              </w:rPr>
              <w:t>The OCU enables the use of specialist investigations to deal with the most serious risks highlighted through</w:t>
            </w:r>
            <w:r>
              <w:rPr>
                <w:spacing w:val="-4"/>
                <w:sz w:val="22"/>
              </w:rPr>
              <w:t> </w:t>
            </w:r>
            <w:r>
              <w:rPr>
                <w:sz w:val="22"/>
              </w:rPr>
              <w:t>SOC.</w:t>
            </w:r>
          </w:p>
          <w:p>
            <w:pPr>
              <w:pStyle w:val="TableParagraph"/>
              <w:numPr>
                <w:ilvl w:val="0"/>
                <w:numId w:val="30"/>
              </w:numPr>
              <w:tabs>
                <w:tab w:pos="469" w:val="left" w:leader="none"/>
                <w:tab w:pos="470" w:val="left" w:leader="none"/>
              </w:tabs>
              <w:spacing w:line="240" w:lineRule="auto" w:before="1" w:after="0"/>
              <w:ind w:left="469" w:right="374" w:hanging="361"/>
              <w:jc w:val="left"/>
              <w:rPr>
                <w:sz w:val="22"/>
              </w:rPr>
            </w:pPr>
            <w:r>
              <w:rPr>
                <w:sz w:val="22"/>
              </w:rPr>
              <w:t>Economic Crime is benefitting from ARIS funding to enable roles to make best use of SARS and other forms of intelligence available through the banking sector.</w:t>
            </w:r>
          </w:p>
          <w:p>
            <w:pPr>
              <w:pStyle w:val="TableParagraph"/>
              <w:numPr>
                <w:ilvl w:val="0"/>
                <w:numId w:val="30"/>
              </w:numPr>
              <w:tabs>
                <w:tab w:pos="467" w:val="left" w:leader="none"/>
                <w:tab w:pos="468" w:val="left" w:leader="none"/>
              </w:tabs>
              <w:spacing w:line="270" w:lineRule="atLeast" w:before="3" w:after="0"/>
              <w:ind w:left="467" w:right="514" w:hanging="360"/>
              <w:jc w:val="left"/>
              <w:rPr>
                <w:sz w:val="22"/>
              </w:rPr>
            </w:pPr>
            <w:r>
              <w:rPr>
                <w:sz w:val="22"/>
              </w:rPr>
              <w:t>The introduction of intelligence collection plans provides the specifics of the Forces Intelligence requirements that will only add value to the intelligence product and better direct the</w:t>
            </w:r>
            <w:r>
              <w:rPr>
                <w:spacing w:val="-4"/>
                <w:sz w:val="22"/>
              </w:rPr>
              <w:t> </w:t>
            </w:r>
            <w:r>
              <w:rPr>
                <w:sz w:val="22"/>
              </w:rPr>
              <w:t>Force.</w:t>
            </w:r>
          </w:p>
        </w:tc>
      </w:tr>
    </w:tbl>
    <w:p>
      <w:pPr>
        <w:spacing w:after="0" w:line="270" w:lineRule="atLeas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9189" w:hRule="atLeast"/>
        </w:trPr>
        <w:tc>
          <w:tcPr>
            <w:tcW w:w="1697" w:type="dxa"/>
          </w:tcPr>
          <w:p>
            <w:pPr>
              <w:pStyle w:val="TableParagraph"/>
              <w:rPr>
                <w:rFonts w:ascii="Times New Roman"/>
                <w:sz w:val="22"/>
              </w:rPr>
            </w:pPr>
          </w:p>
        </w:tc>
        <w:tc>
          <w:tcPr>
            <w:tcW w:w="7795" w:type="dxa"/>
          </w:tcPr>
          <w:p>
            <w:pPr>
              <w:pStyle w:val="TableParagraph"/>
              <w:numPr>
                <w:ilvl w:val="0"/>
                <w:numId w:val="31"/>
              </w:numPr>
              <w:tabs>
                <w:tab w:pos="467" w:val="left" w:leader="none"/>
                <w:tab w:pos="468" w:val="left" w:leader="none"/>
              </w:tabs>
              <w:spacing w:line="240" w:lineRule="auto" w:before="0" w:after="0"/>
              <w:ind w:left="467" w:right="296" w:hanging="360"/>
              <w:jc w:val="left"/>
              <w:rPr>
                <w:sz w:val="22"/>
              </w:rPr>
            </w:pPr>
            <w:r>
              <w:rPr>
                <w:sz w:val="22"/>
              </w:rPr>
              <w:t>A working group has been running for the last 12 months to address the issues of recruitment and retention of Analysts nationally, for which North Yorkshire Police is the</w:t>
            </w:r>
            <w:r>
              <w:rPr>
                <w:spacing w:val="-1"/>
                <w:sz w:val="22"/>
              </w:rPr>
              <w:t> </w:t>
            </w:r>
            <w:r>
              <w:rPr>
                <w:sz w:val="22"/>
              </w:rPr>
              <w:t>lead.</w:t>
            </w:r>
          </w:p>
          <w:p>
            <w:pPr>
              <w:pStyle w:val="TableParagraph"/>
              <w:numPr>
                <w:ilvl w:val="0"/>
                <w:numId w:val="31"/>
              </w:numPr>
              <w:tabs>
                <w:tab w:pos="467" w:val="left" w:leader="none"/>
                <w:tab w:pos="468" w:val="left" w:leader="none"/>
              </w:tabs>
              <w:spacing w:line="240" w:lineRule="auto" w:before="0" w:after="0"/>
              <w:ind w:left="467" w:right="162" w:hanging="361"/>
              <w:jc w:val="left"/>
              <w:rPr>
                <w:sz w:val="22"/>
              </w:rPr>
            </w:pPr>
            <w:r>
              <w:rPr>
                <w:sz w:val="22"/>
              </w:rPr>
              <w:t>North Yorkshire Police Analytical capability is currently stable, with no vacancies and all Analysts having undertaken Core Intelligence Analyst</w:t>
            </w:r>
            <w:r>
              <w:rPr>
                <w:spacing w:val="-10"/>
                <w:sz w:val="22"/>
              </w:rPr>
              <w:t> </w:t>
            </w:r>
            <w:r>
              <w:rPr>
                <w:sz w:val="22"/>
              </w:rPr>
              <w:t>training.</w:t>
            </w:r>
          </w:p>
          <w:p>
            <w:pPr>
              <w:pStyle w:val="TableParagraph"/>
              <w:numPr>
                <w:ilvl w:val="0"/>
                <w:numId w:val="31"/>
              </w:numPr>
              <w:tabs>
                <w:tab w:pos="467" w:val="left" w:leader="none"/>
                <w:tab w:pos="468" w:val="left" w:leader="none"/>
              </w:tabs>
              <w:spacing w:line="240" w:lineRule="auto" w:before="0" w:after="0"/>
              <w:ind w:left="467" w:right="245" w:hanging="361"/>
              <w:jc w:val="left"/>
              <w:rPr>
                <w:sz w:val="22"/>
              </w:rPr>
            </w:pPr>
            <w:r>
              <w:rPr>
                <w:sz w:val="22"/>
              </w:rPr>
              <w:t>The anticipated reduction in the Intelligence backlog, was not realised this year due to a variety of medium-term staffing</w:t>
            </w:r>
            <w:r>
              <w:rPr>
                <w:spacing w:val="-11"/>
                <w:sz w:val="22"/>
              </w:rPr>
              <w:t> </w:t>
            </w:r>
            <w:r>
              <w:rPr>
                <w:sz w:val="22"/>
              </w:rPr>
              <w:t>shortages.</w:t>
            </w:r>
          </w:p>
          <w:p>
            <w:pPr>
              <w:pStyle w:val="TableParagraph"/>
              <w:numPr>
                <w:ilvl w:val="0"/>
                <w:numId w:val="31"/>
              </w:numPr>
              <w:tabs>
                <w:tab w:pos="467" w:val="left" w:leader="none"/>
                <w:tab w:pos="468" w:val="left" w:leader="none"/>
              </w:tabs>
              <w:spacing w:line="240" w:lineRule="auto" w:before="0" w:after="0"/>
              <w:ind w:left="467" w:right="173" w:hanging="361"/>
              <w:jc w:val="left"/>
              <w:rPr>
                <w:sz w:val="22"/>
              </w:rPr>
            </w:pPr>
            <w:r>
              <w:rPr>
                <w:sz w:val="22"/>
              </w:rPr>
              <w:t>North Yorkshire Police has been successful in obtaining over £95,710 in national surge funding for pursue related County Lines activity and continues to submit bids.</w:t>
            </w:r>
          </w:p>
          <w:p>
            <w:pPr>
              <w:pStyle w:val="TableParagraph"/>
              <w:numPr>
                <w:ilvl w:val="0"/>
                <w:numId w:val="31"/>
              </w:numPr>
              <w:tabs>
                <w:tab w:pos="467" w:val="left" w:leader="none"/>
                <w:tab w:pos="468" w:val="left" w:leader="none"/>
              </w:tabs>
              <w:spacing w:line="240" w:lineRule="auto" w:before="0" w:after="0"/>
              <w:ind w:left="467" w:right="154" w:hanging="361"/>
              <w:jc w:val="left"/>
              <w:rPr>
                <w:sz w:val="22"/>
              </w:rPr>
            </w:pPr>
            <w:r>
              <w:rPr>
                <w:sz w:val="22"/>
              </w:rPr>
              <w:t>A number of early intervention and prevention initiatives are in existence across North Yorkshire to divert young people away from offending and organised criminality.</w:t>
            </w:r>
          </w:p>
          <w:p>
            <w:pPr>
              <w:pStyle w:val="TableParagraph"/>
              <w:numPr>
                <w:ilvl w:val="0"/>
                <w:numId w:val="31"/>
              </w:numPr>
              <w:tabs>
                <w:tab w:pos="468" w:val="left" w:leader="none"/>
                <w:tab w:pos="469" w:val="left" w:leader="none"/>
              </w:tabs>
              <w:spacing w:line="240" w:lineRule="auto" w:before="0" w:after="0"/>
              <w:ind w:left="468" w:right="247" w:hanging="361"/>
              <w:jc w:val="left"/>
              <w:rPr>
                <w:sz w:val="22"/>
              </w:rPr>
            </w:pPr>
            <w:r>
              <w:rPr>
                <w:sz w:val="22"/>
              </w:rPr>
              <w:t>North Yorkshire Police has access to the local authority Single View of a Child portal, which allows research to be undertaken on children and young person’s vulnerable to exploitation by</w:t>
            </w:r>
            <w:r>
              <w:rPr>
                <w:spacing w:val="-3"/>
                <w:sz w:val="22"/>
              </w:rPr>
              <w:t> </w:t>
            </w:r>
            <w:r>
              <w:rPr>
                <w:sz w:val="22"/>
              </w:rPr>
              <w:t>OCGs.</w:t>
            </w:r>
          </w:p>
          <w:p>
            <w:pPr>
              <w:pStyle w:val="TableParagraph"/>
              <w:numPr>
                <w:ilvl w:val="0"/>
                <w:numId w:val="31"/>
              </w:numPr>
              <w:tabs>
                <w:tab w:pos="468" w:val="left" w:leader="none"/>
                <w:tab w:pos="469" w:val="left" w:leader="none"/>
              </w:tabs>
              <w:spacing w:line="240" w:lineRule="auto" w:before="0" w:after="0"/>
              <w:ind w:left="468" w:right="102" w:hanging="360"/>
              <w:jc w:val="left"/>
              <w:rPr>
                <w:sz w:val="22"/>
              </w:rPr>
            </w:pPr>
            <w:r>
              <w:rPr>
                <w:sz w:val="22"/>
              </w:rPr>
              <w:t>Prevention and early intervention also plays a large part of the introduction of MANDRAKE made possible by the Police, Fire and Crime Commissioner for North Yorkshire’s community funding to undertake a community drugs testing programme.</w:t>
            </w:r>
          </w:p>
          <w:p>
            <w:pPr>
              <w:pStyle w:val="TableParagraph"/>
              <w:numPr>
                <w:ilvl w:val="0"/>
                <w:numId w:val="31"/>
              </w:numPr>
              <w:tabs>
                <w:tab w:pos="468" w:val="left" w:leader="none"/>
                <w:tab w:pos="469" w:val="left" w:leader="none"/>
              </w:tabs>
              <w:spacing w:line="237" w:lineRule="auto" w:before="1" w:after="0"/>
              <w:ind w:left="468" w:right="221" w:hanging="361"/>
              <w:jc w:val="left"/>
              <w:rPr>
                <w:sz w:val="22"/>
              </w:rPr>
            </w:pPr>
            <w:r>
              <w:rPr>
                <w:sz w:val="22"/>
              </w:rPr>
              <w:t>A number of recent SOC criminal justice successes have been achieved in North Yorkshire in relation to two drug production cases, removing a total of</w:t>
            </w:r>
            <w:r>
              <w:rPr>
                <w:spacing w:val="-19"/>
                <w:sz w:val="22"/>
              </w:rPr>
              <w:t> </w:t>
            </w:r>
            <w:r>
              <w:rPr>
                <w:sz w:val="22"/>
              </w:rPr>
              <w:t>over</w:t>
            </w:r>
          </w:p>
          <w:p>
            <w:pPr>
              <w:pStyle w:val="TableParagraph"/>
              <w:spacing w:before="1"/>
              <w:ind w:left="468"/>
              <w:rPr>
                <w:sz w:val="22"/>
              </w:rPr>
            </w:pPr>
            <w:r>
              <w:rPr>
                <w:sz w:val="22"/>
              </w:rPr>
              <w:t>£6.5m (street value) drugs off the streets of North Yorkshire.</w:t>
            </w:r>
          </w:p>
          <w:p>
            <w:pPr>
              <w:pStyle w:val="TableParagraph"/>
              <w:numPr>
                <w:ilvl w:val="0"/>
                <w:numId w:val="31"/>
              </w:numPr>
              <w:tabs>
                <w:tab w:pos="468" w:val="left" w:leader="none"/>
                <w:tab w:pos="469" w:val="left" w:leader="none"/>
              </w:tabs>
              <w:spacing w:line="240" w:lineRule="auto" w:before="1" w:after="0"/>
              <w:ind w:left="468" w:right="344" w:hanging="361"/>
              <w:jc w:val="left"/>
              <w:rPr>
                <w:sz w:val="22"/>
              </w:rPr>
            </w:pPr>
            <w:r>
              <w:rPr>
                <w:sz w:val="22"/>
              </w:rPr>
              <w:t>The Violence Against Women and Girls (VAWG) Strategy will increase demand where this is linked into SOC, such as exploitation of</w:t>
            </w:r>
            <w:r>
              <w:rPr>
                <w:spacing w:val="-13"/>
                <w:sz w:val="22"/>
              </w:rPr>
              <w:t> </w:t>
            </w:r>
            <w:r>
              <w:rPr>
                <w:sz w:val="22"/>
              </w:rPr>
              <w:t>sex-workers.</w:t>
            </w:r>
          </w:p>
          <w:p>
            <w:pPr>
              <w:pStyle w:val="TableParagraph"/>
              <w:numPr>
                <w:ilvl w:val="0"/>
                <w:numId w:val="31"/>
              </w:numPr>
              <w:tabs>
                <w:tab w:pos="468" w:val="left" w:leader="none"/>
                <w:tab w:pos="469" w:val="left" w:leader="none"/>
              </w:tabs>
              <w:spacing w:line="240" w:lineRule="auto" w:before="0" w:after="0"/>
              <w:ind w:left="468" w:right="155" w:hanging="360"/>
              <w:jc w:val="left"/>
              <w:rPr>
                <w:sz w:val="22"/>
              </w:rPr>
            </w:pPr>
            <w:r>
              <w:rPr>
                <w:sz w:val="22"/>
              </w:rPr>
              <w:t>The national 10-year drugs plan includes a target of a 20% increase in major and moderate disruptions by the end of 2024/25 and North Yorkshire Police is required to put in place processes to accurately identify and focus activity on middle</w:t>
            </w:r>
            <w:r>
              <w:rPr>
                <w:spacing w:val="-3"/>
                <w:sz w:val="22"/>
              </w:rPr>
              <w:t> </w:t>
            </w:r>
            <w:r>
              <w:rPr>
                <w:sz w:val="22"/>
              </w:rPr>
              <w:t>markets.</w:t>
            </w:r>
          </w:p>
          <w:p>
            <w:pPr>
              <w:pStyle w:val="TableParagraph"/>
              <w:numPr>
                <w:ilvl w:val="0"/>
                <w:numId w:val="31"/>
              </w:numPr>
              <w:tabs>
                <w:tab w:pos="468" w:val="left" w:leader="none"/>
                <w:tab w:pos="469" w:val="left" w:leader="none"/>
              </w:tabs>
              <w:spacing w:line="240" w:lineRule="auto" w:before="0" w:after="0"/>
              <w:ind w:left="468" w:right="387" w:hanging="360"/>
              <w:jc w:val="left"/>
              <w:rPr>
                <w:sz w:val="22"/>
              </w:rPr>
            </w:pPr>
            <w:r>
              <w:rPr>
                <w:sz w:val="22"/>
              </w:rPr>
              <w:t>The consequences of not keeping up with demand and the evolving Modus Operandi utilised by OCGs will likely result in a rise in violent crime and this in turn will create more ripple effect demand on front line resources, victim services and the wider criminal justice</w:t>
            </w:r>
            <w:r>
              <w:rPr>
                <w:spacing w:val="-1"/>
                <w:sz w:val="22"/>
              </w:rPr>
              <w:t> </w:t>
            </w:r>
            <w:r>
              <w:rPr>
                <w:sz w:val="22"/>
              </w:rPr>
              <w:t>system.</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2" w:hRule="atLeast"/>
        </w:trPr>
        <w:tc>
          <w:tcPr>
            <w:tcW w:w="9492" w:type="dxa"/>
            <w:gridSpan w:val="2"/>
            <w:shd w:val="clear" w:color="auto" w:fill="2A3979"/>
          </w:tcPr>
          <w:p>
            <w:pPr>
              <w:pStyle w:val="TableParagraph"/>
              <w:spacing w:line="321" w:lineRule="exact" w:before="2"/>
              <w:ind w:left="107"/>
              <w:rPr>
                <w:b/>
                <w:sz w:val="28"/>
              </w:rPr>
            </w:pPr>
            <w:r>
              <w:rPr>
                <w:b/>
                <w:color w:val="FFFFFF"/>
                <w:sz w:val="28"/>
              </w:rPr>
              <w:t>Chapter 9: Major Events</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4062" w:hRule="atLeast"/>
        </w:trPr>
        <w:tc>
          <w:tcPr>
            <w:tcW w:w="1697" w:type="dxa"/>
          </w:tcPr>
          <w:p>
            <w:pPr>
              <w:pStyle w:val="TableParagraph"/>
              <w:ind w:left="107" w:right="633"/>
              <w:rPr>
                <w:sz w:val="22"/>
              </w:rPr>
            </w:pPr>
            <w:r>
              <w:rPr>
                <w:sz w:val="22"/>
              </w:rPr>
              <w:t>9a. Armed Policing</w:t>
            </w:r>
          </w:p>
          <w:p>
            <w:pPr>
              <w:pStyle w:val="TableParagraph"/>
              <w:rPr>
                <w:sz w:val="20"/>
              </w:rPr>
            </w:pPr>
          </w:p>
          <w:p>
            <w:pPr>
              <w:pStyle w:val="TableParagraph"/>
              <w:rPr>
                <w:sz w:val="24"/>
              </w:rPr>
            </w:pPr>
          </w:p>
          <w:p>
            <w:pPr>
              <w:pStyle w:val="TableParagraph"/>
              <w:ind w:left="256"/>
              <w:rPr>
                <w:sz w:val="20"/>
              </w:rPr>
            </w:pPr>
            <w:r>
              <w:rPr>
                <w:sz w:val="20"/>
              </w:rPr>
              <w:drawing>
                <wp:inline distT="0" distB="0" distL="0" distR="0">
                  <wp:extent cx="683133" cy="683132"/>
                  <wp:effectExtent l="0" t="0" r="0" b="0"/>
                  <wp:docPr id="45" name="image25.png"/>
                  <wp:cNvGraphicFramePr>
                    <a:graphicFrameLocks noChangeAspect="1"/>
                  </wp:cNvGraphicFramePr>
                  <a:graphic>
                    <a:graphicData uri="http://schemas.openxmlformats.org/drawingml/2006/picture">
                      <pic:pic>
                        <pic:nvPicPr>
                          <pic:cNvPr id="46" name="image25.png"/>
                          <pic:cNvPicPr/>
                        </pic:nvPicPr>
                        <pic:blipFill>
                          <a:blip r:embed="rId32" cstate="print"/>
                          <a:stretch>
                            <a:fillRect/>
                          </a:stretch>
                        </pic:blipFill>
                        <pic:spPr>
                          <a:xfrm>
                            <a:off x="0" y="0"/>
                            <a:ext cx="683133"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16"/>
              </w:rPr>
            </w:pPr>
          </w:p>
        </w:tc>
        <w:tc>
          <w:tcPr>
            <w:tcW w:w="7795" w:type="dxa"/>
          </w:tcPr>
          <w:p>
            <w:pPr>
              <w:pStyle w:val="TableParagraph"/>
              <w:numPr>
                <w:ilvl w:val="0"/>
                <w:numId w:val="32"/>
              </w:numPr>
              <w:tabs>
                <w:tab w:pos="467" w:val="left" w:leader="none"/>
                <w:tab w:pos="468" w:val="left" w:leader="none"/>
              </w:tabs>
              <w:spacing w:line="240" w:lineRule="auto" w:before="0" w:after="0"/>
              <w:ind w:left="467" w:right="96" w:hanging="360"/>
              <w:jc w:val="left"/>
              <w:rPr>
                <w:sz w:val="22"/>
              </w:rPr>
            </w:pPr>
            <w:r>
              <w:rPr>
                <w:sz w:val="22"/>
              </w:rPr>
              <w:t>Looking at demand for armed policing services over the last 5 years indicates that demand for core armed policing services will continue in line with previous years. Volumes are relatively low and mainly relate to spontaneous deployments. As a result, the capacity is directed to other parts of the business linked to intervention and enforcement, predominantly in the areas of organised criminality and rural</w:t>
            </w:r>
            <w:r>
              <w:rPr>
                <w:spacing w:val="-1"/>
                <w:sz w:val="22"/>
              </w:rPr>
              <w:t> </w:t>
            </w:r>
            <w:r>
              <w:rPr>
                <w:sz w:val="22"/>
              </w:rPr>
              <w:t>crime.</w:t>
            </w:r>
          </w:p>
          <w:p>
            <w:pPr>
              <w:pStyle w:val="TableParagraph"/>
              <w:numPr>
                <w:ilvl w:val="0"/>
                <w:numId w:val="32"/>
              </w:numPr>
              <w:tabs>
                <w:tab w:pos="467" w:val="left" w:leader="none"/>
                <w:tab w:pos="468" w:val="left" w:leader="none"/>
              </w:tabs>
              <w:spacing w:line="240" w:lineRule="auto" w:before="0" w:after="0"/>
              <w:ind w:left="467" w:right="398" w:hanging="361"/>
              <w:jc w:val="left"/>
              <w:rPr>
                <w:sz w:val="22"/>
              </w:rPr>
            </w:pPr>
            <w:r>
              <w:rPr>
                <w:sz w:val="22"/>
              </w:rPr>
              <w:t>NYP works to one Armed Policing Strategic Threat and Risk Assessment (APSTRA) based on threat and risk, demand and geography which is reviewed quarterly and revised annually, to ensure</w:t>
            </w:r>
            <w:r>
              <w:rPr>
                <w:spacing w:val="-4"/>
                <w:sz w:val="22"/>
              </w:rPr>
              <w:t> </w:t>
            </w:r>
            <w:r>
              <w:rPr>
                <w:sz w:val="22"/>
              </w:rPr>
              <w:t>currency.</w:t>
            </w:r>
          </w:p>
          <w:p>
            <w:pPr>
              <w:pStyle w:val="TableParagraph"/>
              <w:numPr>
                <w:ilvl w:val="0"/>
                <w:numId w:val="32"/>
              </w:numPr>
              <w:tabs>
                <w:tab w:pos="467" w:val="left" w:leader="none"/>
                <w:tab w:pos="468" w:val="left" w:leader="none"/>
              </w:tabs>
              <w:spacing w:line="240" w:lineRule="auto" w:before="0" w:after="0"/>
              <w:ind w:left="467" w:right="140" w:hanging="361"/>
              <w:jc w:val="left"/>
              <w:rPr>
                <w:sz w:val="22"/>
              </w:rPr>
            </w:pPr>
            <w:r>
              <w:rPr>
                <w:sz w:val="22"/>
              </w:rPr>
              <w:t>Firearms core functionality is high risk, relatively low volume and demand is met by the Armed Poling teams comprising 54 Full Time Equivalent (FTE). The current team resilience is low and has been impacted by both lead times for recruitment and a lack of operational equipment. The team run on minimum staffing on a regular basis resulting from a number of concurrent</w:t>
            </w:r>
            <w:r>
              <w:rPr>
                <w:spacing w:val="-23"/>
                <w:sz w:val="22"/>
              </w:rPr>
              <w:t> </w:t>
            </w:r>
            <w:r>
              <w:rPr>
                <w:sz w:val="22"/>
              </w:rPr>
              <w:t>planned</w:t>
            </w:r>
          </w:p>
          <w:p>
            <w:pPr>
              <w:pStyle w:val="TableParagraph"/>
              <w:spacing w:line="248" w:lineRule="exact"/>
              <w:ind w:left="467"/>
              <w:rPr>
                <w:sz w:val="22"/>
              </w:rPr>
            </w:pPr>
            <w:r>
              <w:rPr>
                <w:sz w:val="22"/>
              </w:rPr>
              <w:t>(training etc) and unplanned abstractions.</w:t>
            </w:r>
          </w:p>
        </w:tc>
      </w:tr>
    </w:tbl>
    <w:p>
      <w:pPr>
        <w:spacing w:after="0" w:line="248" w:lineRule="exact"/>
        <w:rPr>
          <w:sz w:val="22"/>
        </w:rPr>
        <w:sectPr>
          <w:pgSz w:w="11910" w:h="16840"/>
          <w:pgMar w:header="0" w:footer="443" w:top="820" w:bottom="72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2370" w:hRule="atLeast"/>
        </w:trPr>
        <w:tc>
          <w:tcPr>
            <w:tcW w:w="1697" w:type="dxa"/>
          </w:tcPr>
          <w:p>
            <w:pPr>
              <w:pStyle w:val="TableParagraph"/>
              <w:rPr>
                <w:rFonts w:ascii="Times New Roman"/>
                <w:sz w:val="22"/>
              </w:rPr>
            </w:pPr>
          </w:p>
        </w:tc>
        <w:tc>
          <w:tcPr>
            <w:tcW w:w="7795" w:type="dxa"/>
          </w:tcPr>
          <w:p>
            <w:pPr>
              <w:pStyle w:val="TableParagraph"/>
              <w:numPr>
                <w:ilvl w:val="0"/>
                <w:numId w:val="33"/>
              </w:numPr>
              <w:tabs>
                <w:tab w:pos="467" w:val="left" w:leader="none"/>
                <w:tab w:pos="468" w:val="left" w:leader="none"/>
              </w:tabs>
              <w:spacing w:line="240" w:lineRule="auto" w:before="0" w:after="0"/>
              <w:ind w:left="467" w:right="428" w:hanging="360"/>
              <w:jc w:val="left"/>
              <w:rPr>
                <w:sz w:val="22"/>
              </w:rPr>
            </w:pPr>
            <w:r>
              <w:rPr>
                <w:sz w:val="22"/>
              </w:rPr>
              <w:t>The roll out of Airbox has been approved, NYP will be looking to enhance this further with Airbox Mosaic which will support allocation, intelligence sharing and decision making in a live environment. NYP are also exploring the procurement of a case management system for firearms</w:t>
            </w:r>
            <w:r>
              <w:rPr>
                <w:spacing w:val="-10"/>
                <w:sz w:val="22"/>
              </w:rPr>
              <w:t> </w:t>
            </w:r>
            <w:r>
              <w:rPr>
                <w:sz w:val="22"/>
              </w:rPr>
              <w:t>incidents.</w:t>
            </w:r>
          </w:p>
          <w:p>
            <w:pPr>
              <w:pStyle w:val="TableParagraph"/>
              <w:numPr>
                <w:ilvl w:val="0"/>
                <w:numId w:val="33"/>
              </w:numPr>
              <w:tabs>
                <w:tab w:pos="467" w:val="left" w:leader="none"/>
                <w:tab w:pos="468" w:val="left" w:leader="none"/>
              </w:tabs>
              <w:spacing w:line="240" w:lineRule="auto" w:before="0" w:after="0"/>
              <w:ind w:left="467" w:right="116" w:hanging="360"/>
              <w:jc w:val="left"/>
              <w:rPr>
                <w:sz w:val="22"/>
              </w:rPr>
            </w:pPr>
            <w:r>
              <w:rPr>
                <w:sz w:val="22"/>
              </w:rPr>
              <w:t>Armed policing is a high-risk area of business, with relatively low demand for the core function (armed response). If the plans described in Step 3 can be implemented and the establishment within the armed policing teams fulfilled, it is anticipated that there will be sufficient capacity to meet future</w:t>
            </w:r>
            <w:r>
              <w:rPr>
                <w:spacing w:val="-18"/>
                <w:sz w:val="22"/>
              </w:rPr>
              <w:t> </w:t>
            </w:r>
            <w:r>
              <w:rPr>
                <w:sz w:val="22"/>
              </w:rPr>
              <w:t>demand.</w:t>
            </w:r>
          </w:p>
        </w:tc>
      </w:tr>
      <w:tr>
        <w:trPr>
          <w:trHeight w:val="11699" w:hRule="atLeast"/>
        </w:trPr>
        <w:tc>
          <w:tcPr>
            <w:tcW w:w="1697" w:type="dxa"/>
          </w:tcPr>
          <w:p>
            <w:pPr>
              <w:pStyle w:val="TableParagraph"/>
              <w:ind w:left="107" w:right="685"/>
              <w:rPr>
                <w:sz w:val="22"/>
              </w:rPr>
            </w:pPr>
            <w:r>
              <w:rPr>
                <w:sz w:val="22"/>
              </w:rPr>
              <w:t>9b. Roads Policing</w:t>
            </w:r>
          </w:p>
          <w:p>
            <w:pPr>
              <w:pStyle w:val="TableParagraph"/>
              <w:rPr>
                <w:sz w:val="22"/>
              </w:rPr>
            </w:pPr>
          </w:p>
          <w:p>
            <w:pPr>
              <w:pStyle w:val="TableParagraph"/>
              <w:ind w:left="256"/>
              <w:rPr>
                <w:sz w:val="20"/>
              </w:rPr>
            </w:pPr>
            <w:r>
              <w:rPr>
                <w:sz w:val="20"/>
              </w:rPr>
              <w:drawing>
                <wp:inline distT="0" distB="0" distL="0" distR="0">
                  <wp:extent cx="683132" cy="683132"/>
                  <wp:effectExtent l="0" t="0" r="0" b="0"/>
                  <wp:docPr id="47" name="image25.png"/>
                  <wp:cNvGraphicFramePr>
                    <a:graphicFrameLocks noChangeAspect="1"/>
                  </wp:cNvGraphicFramePr>
                  <a:graphic>
                    <a:graphicData uri="http://schemas.openxmlformats.org/drawingml/2006/picture">
                      <pic:pic>
                        <pic:nvPicPr>
                          <pic:cNvPr id="48" name="image25.png"/>
                          <pic:cNvPicPr/>
                        </pic:nvPicPr>
                        <pic:blipFill>
                          <a:blip r:embed="rId32"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4"/>
              </w:rPr>
            </w:pPr>
          </w:p>
        </w:tc>
        <w:tc>
          <w:tcPr>
            <w:tcW w:w="7795" w:type="dxa"/>
          </w:tcPr>
          <w:p>
            <w:pPr>
              <w:pStyle w:val="TableParagraph"/>
              <w:numPr>
                <w:ilvl w:val="0"/>
                <w:numId w:val="34"/>
              </w:numPr>
              <w:tabs>
                <w:tab w:pos="467" w:val="left" w:leader="none"/>
                <w:tab w:pos="468" w:val="left" w:leader="none"/>
              </w:tabs>
              <w:spacing w:line="240" w:lineRule="auto" w:before="0" w:after="0"/>
              <w:ind w:left="467" w:right="113" w:hanging="360"/>
              <w:jc w:val="left"/>
              <w:rPr>
                <w:sz w:val="22"/>
              </w:rPr>
            </w:pPr>
            <w:r>
              <w:rPr>
                <w:sz w:val="22"/>
              </w:rPr>
              <w:t>Road Traffic Collisions (RTCs) represent the area of highest physical harm, and particularly fatalities, within those matters relating to policing in North Yorkshire with the exception of those who take their own</w:t>
            </w:r>
            <w:r>
              <w:rPr>
                <w:spacing w:val="-11"/>
                <w:sz w:val="22"/>
              </w:rPr>
              <w:t> </w:t>
            </w:r>
            <w:r>
              <w:rPr>
                <w:sz w:val="22"/>
              </w:rPr>
              <w:t>lives.</w:t>
            </w:r>
          </w:p>
          <w:p>
            <w:pPr>
              <w:pStyle w:val="TableParagraph"/>
              <w:numPr>
                <w:ilvl w:val="0"/>
                <w:numId w:val="34"/>
              </w:numPr>
              <w:tabs>
                <w:tab w:pos="467" w:val="left" w:leader="none"/>
                <w:tab w:pos="468" w:val="left" w:leader="none"/>
              </w:tabs>
              <w:spacing w:line="240" w:lineRule="auto" w:before="0" w:after="0"/>
              <w:ind w:left="467" w:right="177" w:hanging="361"/>
              <w:jc w:val="left"/>
              <w:rPr>
                <w:sz w:val="22"/>
              </w:rPr>
            </w:pPr>
            <w:r>
              <w:rPr>
                <w:sz w:val="22"/>
              </w:rPr>
              <w:t>The forecast change in road collisions, which exclude those who are Killed or Seriously injured, is expecting to see approximately a 6% year on year reduction over the next two years based on current road safety activities and</w:t>
            </w:r>
            <w:r>
              <w:rPr>
                <w:spacing w:val="-22"/>
                <w:sz w:val="22"/>
              </w:rPr>
              <w:t> </w:t>
            </w:r>
            <w:r>
              <w:rPr>
                <w:sz w:val="22"/>
              </w:rPr>
              <w:t>strategies.</w:t>
            </w:r>
          </w:p>
          <w:p>
            <w:pPr>
              <w:pStyle w:val="TableParagraph"/>
              <w:numPr>
                <w:ilvl w:val="0"/>
                <w:numId w:val="34"/>
              </w:numPr>
              <w:tabs>
                <w:tab w:pos="467" w:val="left" w:leader="none"/>
                <w:tab w:pos="468" w:val="left" w:leader="none"/>
              </w:tabs>
              <w:spacing w:line="240" w:lineRule="auto" w:before="0" w:after="0"/>
              <w:ind w:left="467" w:right="245" w:hanging="361"/>
              <w:jc w:val="left"/>
              <w:rPr>
                <w:sz w:val="22"/>
              </w:rPr>
            </w:pPr>
            <w:r>
              <w:rPr>
                <w:sz w:val="22"/>
              </w:rPr>
              <w:t>For killed and serious injury road collisions the general trend is predicted to reduce marginally with a potential overall reduction over the next four years of around 2% per</w:t>
            </w:r>
            <w:r>
              <w:rPr>
                <w:spacing w:val="-3"/>
                <w:sz w:val="22"/>
              </w:rPr>
              <w:t> </w:t>
            </w:r>
            <w:r>
              <w:rPr>
                <w:sz w:val="22"/>
              </w:rPr>
              <w:t>year.</w:t>
            </w:r>
          </w:p>
          <w:p>
            <w:pPr>
              <w:pStyle w:val="TableParagraph"/>
              <w:numPr>
                <w:ilvl w:val="0"/>
                <w:numId w:val="34"/>
              </w:numPr>
              <w:tabs>
                <w:tab w:pos="467" w:val="left" w:leader="none"/>
                <w:tab w:pos="468" w:val="left" w:leader="none"/>
              </w:tabs>
              <w:spacing w:line="237" w:lineRule="auto" w:before="2" w:after="0"/>
              <w:ind w:left="467" w:right="369" w:hanging="361"/>
              <w:jc w:val="left"/>
              <w:rPr>
                <w:sz w:val="22"/>
              </w:rPr>
            </w:pPr>
            <w:r>
              <w:rPr>
                <w:sz w:val="22"/>
              </w:rPr>
              <w:t>Overall, serious collisions accounted for 5% of all collisions and the number of actual injured parties rose to</w:t>
            </w:r>
            <w:r>
              <w:rPr>
                <w:spacing w:val="-7"/>
                <w:sz w:val="22"/>
              </w:rPr>
              <w:t> </w:t>
            </w:r>
            <w:r>
              <w:rPr>
                <w:sz w:val="22"/>
              </w:rPr>
              <w:t>7%.</w:t>
            </w:r>
          </w:p>
          <w:p>
            <w:pPr>
              <w:pStyle w:val="TableParagraph"/>
              <w:numPr>
                <w:ilvl w:val="0"/>
                <w:numId w:val="34"/>
              </w:numPr>
              <w:tabs>
                <w:tab w:pos="468" w:val="left" w:leader="none"/>
                <w:tab w:pos="469" w:val="left" w:leader="none"/>
              </w:tabs>
              <w:spacing w:line="240" w:lineRule="auto" w:before="1" w:after="0"/>
              <w:ind w:left="468" w:right="170" w:hanging="361"/>
              <w:jc w:val="left"/>
              <w:rPr>
                <w:sz w:val="22"/>
              </w:rPr>
            </w:pPr>
            <w:r>
              <w:rPr>
                <w:sz w:val="22"/>
              </w:rPr>
              <w:t>Overall, fatalities accounted for 1% of all collisions and between 2021 and 2022, the number of fatalities on the roads of York and North Yorkshire reduced slightly from 42 to 40 (4.8%) however, the figures over the past four years have remained relatively</w:t>
            </w:r>
            <w:r>
              <w:rPr>
                <w:spacing w:val="-3"/>
                <w:sz w:val="22"/>
              </w:rPr>
              <w:t> </w:t>
            </w:r>
            <w:r>
              <w:rPr>
                <w:sz w:val="22"/>
              </w:rPr>
              <w:t>static.</w:t>
            </w:r>
          </w:p>
          <w:p>
            <w:pPr>
              <w:pStyle w:val="TableParagraph"/>
              <w:numPr>
                <w:ilvl w:val="0"/>
                <w:numId w:val="34"/>
              </w:numPr>
              <w:tabs>
                <w:tab w:pos="468" w:val="left" w:leader="none"/>
                <w:tab w:pos="469" w:val="left" w:leader="none"/>
              </w:tabs>
              <w:spacing w:line="240" w:lineRule="auto" w:before="2" w:after="0"/>
              <w:ind w:left="468" w:right="252" w:hanging="361"/>
              <w:jc w:val="left"/>
              <w:rPr>
                <w:sz w:val="22"/>
              </w:rPr>
            </w:pPr>
            <w:r>
              <w:rPr>
                <w:sz w:val="22"/>
              </w:rPr>
              <w:t>Collisions with serious injury have continued to reduce over the past four years with 2022 figures showing a 15.3% reduction compared to</w:t>
            </w:r>
            <w:r>
              <w:rPr>
                <w:spacing w:val="-15"/>
                <w:sz w:val="22"/>
              </w:rPr>
              <w:t> </w:t>
            </w:r>
            <w:r>
              <w:rPr>
                <w:sz w:val="22"/>
              </w:rPr>
              <w:t>2021.</w:t>
            </w:r>
          </w:p>
          <w:p>
            <w:pPr>
              <w:pStyle w:val="TableParagraph"/>
              <w:numPr>
                <w:ilvl w:val="0"/>
                <w:numId w:val="34"/>
              </w:numPr>
              <w:tabs>
                <w:tab w:pos="468" w:val="left" w:leader="none"/>
                <w:tab w:pos="469" w:val="left" w:leader="none"/>
              </w:tabs>
              <w:spacing w:line="240" w:lineRule="auto" w:before="0" w:after="0"/>
              <w:ind w:left="468" w:right="249" w:hanging="361"/>
              <w:jc w:val="left"/>
              <w:rPr>
                <w:sz w:val="22"/>
              </w:rPr>
            </w:pPr>
            <w:r>
              <w:rPr>
                <w:sz w:val="22"/>
              </w:rPr>
              <w:t>Males are also most at risk of being an injured party in a serious collision, the peak age for a male injured party was 20 years of age and for females 22</w:t>
            </w:r>
            <w:r>
              <w:rPr>
                <w:spacing w:val="-30"/>
                <w:sz w:val="22"/>
              </w:rPr>
              <w:t> </w:t>
            </w:r>
            <w:r>
              <w:rPr>
                <w:sz w:val="22"/>
              </w:rPr>
              <w:t>years.</w:t>
            </w:r>
          </w:p>
          <w:p>
            <w:pPr>
              <w:pStyle w:val="TableParagraph"/>
              <w:numPr>
                <w:ilvl w:val="0"/>
                <w:numId w:val="34"/>
              </w:numPr>
              <w:tabs>
                <w:tab w:pos="468" w:val="left" w:leader="none"/>
                <w:tab w:pos="469" w:val="left" w:leader="none"/>
              </w:tabs>
              <w:spacing w:line="240" w:lineRule="auto" w:before="0" w:after="0"/>
              <w:ind w:left="468" w:right="672" w:hanging="361"/>
              <w:jc w:val="left"/>
              <w:rPr>
                <w:sz w:val="22"/>
              </w:rPr>
            </w:pPr>
            <w:r>
              <w:rPr>
                <w:sz w:val="22"/>
              </w:rPr>
              <w:t>47% of fatal collisions involved only cars and 27% involved motorcycles (of which 55% of these also involved a car, 36% a single motorcycle and the remainder was two</w:t>
            </w:r>
            <w:r>
              <w:rPr>
                <w:spacing w:val="-6"/>
                <w:sz w:val="22"/>
              </w:rPr>
              <w:t> </w:t>
            </w:r>
            <w:r>
              <w:rPr>
                <w:sz w:val="22"/>
              </w:rPr>
              <w:t>motorcycles).</w:t>
            </w:r>
          </w:p>
          <w:p>
            <w:pPr>
              <w:pStyle w:val="TableParagraph"/>
              <w:numPr>
                <w:ilvl w:val="0"/>
                <w:numId w:val="34"/>
              </w:numPr>
              <w:tabs>
                <w:tab w:pos="468" w:val="left" w:leader="none"/>
                <w:tab w:pos="469" w:val="left" w:leader="none"/>
              </w:tabs>
              <w:spacing w:line="240" w:lineRule="auto" w:before="0" w:after="0"/>
              <w:ind w:left="468" w:right="1035" w:hanging="361"/>
              <w:jc w:val="left"/>
              <w:rPr>
                <w:sz w:val="22"/>
              </w:rPr>
            </w:pPr>
            <w:r>
              <w:rPr>
                <w:sz w:val="22"/>
              </w:rPr>
              <w:t>Proactive policing undertake targeted enforcement campaigns around drink/drug driving, traffic offences, vehicle safety and vehicle licensing/insurance using a risk-based demand</w:t>
            </w:r>
            <w:r>
              <w:rPr>
                <w:spacing w:val="-11"/>
                <w:sz w:val="22"/>
              </w:rPr>
              <w:t> </w:t>
            </w:r>
            <w:r>
              <w:rPr>
                <w:sz w:val="22"/>
              </w:rPr>
              <w:t>model.</w:t>
            </w:r>
          </w:p>
          <w:p>
            <w:pPr>
              <w:pStyle w:val="TableParagraph"/>
              <w:numPr>
                <w:ilvl w:val="0"/>
                <w:numId w:val="34"/>
              </w:numPr>
              <w:tabs>
                <w:tab w:pos="468" w:val="left" w:leader="none"/>
                <w:tab w:pos="470" w:val="left" w:leader="none"/>
              </w:tabs>
              <w:spacing w:line="240" w:lineRule="auto" w:before="0" w:after="0"/>
              <w:ind w:left="469" w:right="232" w:hanging="361"/>
              <w:jc w:val="left"/>
              <w:rPr>
                <w:sz w:val="22"/>
              </w:rPr>
            </w:pPr>
            <w:r>
              <w:rPr>
                <w:sz w:val="22"/>
              </w:rPr>
              <w:t>Operation Snap (Dash Cam footage), is an area of business which has seen a continued increase in submissions year on year and as of December 2022 there has been approximately a 45% increase in 3 years. This is expected to continue increasing as technology increases in</w:t>
            </w:r>
            <w:r>
              <w:rPr>
                <w:spacing w:val="-6"/>
                <w:sz w:val="22"/>
              </w:rPr>
              <w:t> </w:t>
            </w:r>
            <w:r>
              <w:rPr>
                <w:sz w:val="22"/>
              </w:rPr>
              <w:t>cars/bikes.</w:t>
            </w:r>
          </w:p>
          <w:p>
            <w:pPr>
              <w:pStyle w:val="TableParagraph"/>
              <w:numPr>
                <w:ilvl w:val="0"/>
                <w:numId w:val="34"/>
              </w:numPr>
              <w:tabs>
                <w:tab w:pos="468" w:val="left" w:leader="none"/>
                <w:tab w:pos="470" w:val="left" w:leader="none"/>
              </w:tabs>
              <w:spacing w:line="240" w:lineRule="auto" w:before="0" w:after="0"/>
              <w:ind w:left="469" w:right="128" w:hanging="361"/>
              <w:jc w:val="left"/>
              <w:rPr>
                <w:sz w:val="22"/>
              </w:rPr>
            </w:pPr>
            <w:r>
              <w:rPr>
                <w:sz w:val="22"/>
              </w:rPr>
              <w:t>Using arrest data as an indicator shows in 2022/23 drink or drug related driving offences being the fifth and eighth most frequent offence reason which accounting for 6% of the total offences reasons recorded upon arrest. With 35% of those arrested for these offences having a home address outside of the North Yorkshire Police</w:t>
            </w:r>
            <w:r>
              <w:rPr>
                <w:spacing w:val="-2"/>
                <w:sz w:val="22"/>
              </w:rPr>
              <w:t> </w:t>
            </w:r>
            <w:r>
              <w:rPr>
                <w:sz w:val="22"/>
              </w:rPr>
              <w:t>area.</w:t>
            </w:r>
          </w:p>
          <w:p>
            <w:pPr>
              <w:pStyle w:val="TableParagraph"/>
              <w:numPr>
                <w:ilvl w:val="0"/>
                <w:numId w:val="34"/>
              </w:numPr>
              <w:tabs>
                <w:tab w:pos="468" w:val="left" w:leader="none"/>
                <w:tab w:pos="470" w:val="left" w:leader="none"/>
              </w:tabs>
              <w:spacing w:line="240" w:lineRule="auto" w:before="0" w:after="0"/>
              <w:ind w:left="468" w:right="140" w:hanging="360"/>
              <w:jc w:val="left"/>
              <w:rPr>
                <w:sz w:val="22"/>
              </w:rPr>
            </w:pPr>
            <w:r>
              <w:rPr>
                <w:sz w:val="22"/>
              </w:rPr>
              <w:t>Based on current data (22 months) the Roads Policing Group support the organisation by deploying to around 618 incidents per month of which 298 are transport related (226 as Immediate or Priority) against an organisation demand for transport related incidents of 975 (713 as Immediate or Priority). Where there are RTCs including injury, RPG attend around 41% of all incidents which is an increase when compared to data from FMS4</w:t>
            </w:r>
            <w:r>
              <w:rPr>
                <w:spacing w:val="-9"/>
                <w:sz w:val="22"/>
              </w:rPr>
              <w:t> </w:t>
            </w:r>
            <w:r>
              <w:rPr>
                <w:sz w:val="22"/>
              </w:rPr>
              <w:t>(35%).</w:t>
            </w:r>
          </w:p>
          <w:p>
            <w:pPr>
              <w:pStyle w:val="TableParagraph"/>
              <w:numPr>
                <w:ilvl w:val="0"/>
                <w:numId w:val="34"/>
              </w:numPr>
              <w:tabs>
                <w:tab w:pos="467" w:val="left" w:leader="none"/>
                <w:tab w:pos="468" w:val="left" w:leader="none"/>
              </w:tabs>
              <w:spacing w:line="270" w:lineRule="atLeast" w:before="0" w:after="0"/>
              <w:ind w:left="467" w:right="207" w:hanging="360"/>
              <w:jc w:val="left"/>
              <w:rPr>
                <w:sz w:val="22"/>
              </w:rPr>
            </w:pPr>
            <w:r>
              <w:rPr>
                <w:sz w:val="22"/>
              </w:rPr>
              <w:t>York and North Yorkshire Road Safety Partnership implemented a Safer Road Strategy 2021-2026, supported by the North Yorkshire Police, Fire and Crime Commissioner, that seeks to work collectively to achieve this under Vision</w:t>
            </w:r>
            <w:r>
              <w:rPr>
                <w:spacing w:val="-29"/>
                <w:sz w:val="22"/>
              </w:rPr>
              <w:t> </w:t>
            </w:r>
            <w:r>
              <w:rPr>
                <w:sz w:val="22"/>
              </w:rPr>
              <w:t>Zero.</w:t>
            </w:r>
          </w:p>
        </w:tc>
      </w:tr>
    </w:tbl>
    <w:p>
      <w:pPr>
        <w:spacing w:after="0" w:line="270" w:lineRule="atLeas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3014" w:hRule="atLeast"/>
        </w:trPr>
        <w:tc>
          <w:tcPr>
            <w:tcW w:w="1697" w:type="dxa"/>
          </w:tcPr>
          <w:p>
            <w:pPr>
              <w:pStyle w:val="TableParagraph"/>
              <w:rPr>
                <w:rFonts w:ascii="Times New Roman"/>
                <w:sz w:val="22"/>
              </w:rPr>
            </w:pPr>
          </w:p>
        </w:tc>
        <w:tc>
          <w:tcPr>
            <w:tcW w:w="7795" w:type="dxa"/>
          </w:tcPr>
          <w:p>
            <w:pPr>
              <w:pStyle w:val="TableParagraph"/>
              <w:numPr>
                <w:ilvl w:val="0"/>
                <w:numId w:val="35"/>
              </w:numPr>
              <w:tabs>
                <w:tab w:pos="467" w:val="left" w:leader="none"/>
                <w:tab w:pos="468" w:val="left" w:leader="none"/>
              </w:tabs>
              <w:spacing w:line="240" w:lineRule="auto" w:before="0" w:after="0"/>
              <w:ind w:left="467" w:right="350" w:hanging="360"/>
              <w:jc w:val="left"/>
              <w:rPr>
                <w:sz w:val="22"/>
              </w:rPr>
            </w:pPr>
            <w:r>
              <w:rPr>
                <w:sz w:val="22"/>
              </w:rPr>
              <w:t>The York and North Yorkshire Road Safety Partnership brings together the key agencies who all have a shared interest in and responsibility for making our roads safer which includes North Yorkshire Police, North Yorkshire Fire and Rescue Service, Yorkshire Ambulance Service, City of York Council, North Yorkshire County Council, National Highways and the Office of the Police, Fire and Crime Commissioner for North</w:t>
            </w:r>
            <w:r>
              <w:rPr>
                <w:spacing w:val="-5"/>
                <w:sz w:val="22"/>
              </w:rPr>
              <w:t> </w:t>
            </w:r>
            <w:r>
              <w:rPr>
                <w:sz w:val="22"/>
              </w:rPr>
              <w:t>Yorkshire.</w:t>
            </w:r>
          </w:p>
          <w:p>
            <w:pPr>
              <w:pStyle w:val="TableParagraph"/>
              <w:numPr>
                <w:ilvl w:val="0"/>
                <w:numId w:val="35"/>
              </w:numPr>
              <w:tabs>
                <w:tab w:pos="467" w:val="left" w:leader="none"/>
                <w:tab w:pos="468" w:val="left" w:leader="none"/>
              </w:tabs>
              <w:spacing w:line="240" w:lineRule="auto" w:before="0" w:after="0"/>
              <w:ind w:left="467" w:right="168" w:hanging="361"/>
              <w:jc w:val="left"/>
              <w:rPr>
                <w:sz w:val="22"/>
              </w:rPr>
            </w:pPr>
            <w:r>
              <w:rPr>
                <w:sz w:val="22"/>
              </w:rPr>
              <w:t>The NYP ACC Spec Ops is the Chair of the Partnership where the overall strategy is set, providing strategic direction to the Officer Working Group. The Officer Working Group develop and deliver the annual delivery plan against the strategy, targeting initiatives in accordance with local data, evidence, and intelligence.</w:t>
            </w:r>
          </w:p>
          <w:p>
            <w:pPr>
              <w:pStyle w:val="TableParagraph"/>
              <w:numPr>
                <w:ilvl w:val="0"/>
                <w:numId w:val="35"/>
              </w:numPr>
              <w:tabs>
                <w:tab w:pos="467" w:val="left" w:leader="none"/>
                <w:tab w:pos="468" w:val="left" w:leader="none"/>
              </w:tabs>
              <w:spacing w:line="240" w:lineRule="auto" w:before="0" w:after="0"/>
              <w:ind w:left="467" w:right="206" w:hanging="361"/>
              <w:jc w:val="left"/>
              <w:rPr>
                <w:sz w:val="22"/>
              </w:rPr>
            </w:pPr>
            <w:r>
              <w:rPr>
                <w:sz w:val="22"/>
              </w:rPr>
              <w:t>Roads Policing capacity and capability is sufficient to meet the challenges of the York and North Yorkshire Safer Roads Strategy and the ability to cover the network</w:t>
            </w:r>
            <w:r>
              <w:rPr>
                <w:spacing w:val="-3"/>
                <w:sz w:val="22"/>
              </w:rPr>
              <w:t> </w:t>
            </w:r>
            <w:r>
              <w:rPr>
                <w:sz w:val="22"/>
              </w:rPr>
              <w:t>effectively.</w:t>
            </w:r>
          </w:p>
          <w:p>
            <w:pPr>
              <w:pStyle w:val="TableParagraph"/>
              <w:numPr>
                <w:ilvl w:val="0"/>
                <w:numId w:val="35"/>
              </w:numPr>
              <w:tabs>
                <w:tab w:pos="467" w:val="left" w:leader="none"/>
                <w:tab w:pos="468" w:val="left" w:leader="none"/>
              </w:tabs>
              <w:spacing w:line="240" w:lineRule="auto" w:before="0" w:after="0"/>
              <w:ind w:left="467" w:right="130" w:hanging="361"/>
              <w:jc w:val="left"/>
              <w:rPr>
                <w:sz w:val="22"/>
              </w:rPr>
            </w:pPr>
            <w:r>
              <w:rPr>
                <w:sz w:val="22"/>
              </w:rPr>
              <w:t>The Roads Policing Team has a demand led deployment model and there is a fortnightly management meeting to ensure deployments are in line with current and long-term collision trends and</w:t>
            </w:r>
            <w:r>
              <w:rPr>
                <w:spacing w:val="-4"/>
                <w:sz w:val="22"/>
              </w:rPr>
              <w:t> </w:t>
            </w:r>
            <w:r>
              <w:rPr>
                <w:sz w:val="22"/>
              </w:rPr>
              <w:t>intelligence.</w:t>
            </w:r>
          </w:p>
          <w:p>
            <w:pPr>
              <w:pStyle w:val="TableParagraph"/>
              <w:numPr>
                <w:ilvl w:val="0"/>
                <w:numId w:val="35"/>
              </w:numPr>
              <w:tabs>
                <w:tab w:pos="467" w:val="left" w:leader="none"/>
                <w:tab w:pos="468" w:val="left" w:leader="none"/>
              </w:tabs>
              <w:spacing w:line="240" w:lineRule="auto" w:before="0" w:after="0"/>
              <w:ind w:left="467" w:right="342" w:hanging="361"/>
              <w:jc w:val="left"/>
              <w:rPr>
                <w:sz w:val="22"/>
              </w:rPr>
            </w:pPr>
            <w:r>
              <w:rPr>
                <w:sz w:val="22"/>
              </w:rPr>
              <w:t>The Road Safety Team, which consists of three Road Safety Officers and a dedicated Road Safety Analyst who reports to a Major Collision Investigation Team (MCIT) Sergeant are at the forefront of delivering Road Safety initiatives for North Yorkshire</w:t>
            </w:r>
            <w:r>
              <w:rPr>
                <w:spacing w:val="-4"/>
                <w:sz w:val="22"/>
              </w:rPr>
              <w:t> </w:t>
            </w:r>
            <w:r>
              <w:rPr>
                <w:sz w:val="22"/>
              </w:rPr>
              <w:t>Police.</w:t>
            </w:r>
          </w:p>
          <w:p>
            <w:pPr>
              <w:pStyle w:val="TableParagraph"/>
              <w:numPr>
                <w:ilvl w:val="0"/>
                <w:numId w:val="35"/>
              </w:numPr>
              <w:tabs>
                <w:tab w:pos="468" w:val="left" w:leader="none"/>
                <w:tab w:pos="469" w:val="left" w:leader="none"/>
              </w:tabs>
              <w:spacing w:line="240" w:lineRule="auto" w:before="0" w:after="0"/>
              <w:ind w:left="468" w:right="147" w:hanging="361"/>
              <w:jc w:val="left"/>
              <w:rPr>
                <w:sz w:val="22"/>
              </w:rPr>
            </w:pPr>
            <w:r>
              <w:rPr>
                <w:sz w:val="22"/>
              </w:rPr>
              <w:t>NYP are responding to the needs of the community as efficiently and effectively as possible by coordinating partnership resources and key stakeholders deliver through initiatives such as Actions Have Consequences, Survive the Drive, RAMP and the nationally awarded</w:t>
            </w:r>
            <w:r>
              <w:rPr>
                <w:spacing w:val="-3"/>
                <w:sz w:val="22"/>
              </w:rPr>
              <w:t> </w:t>
            </w:r>
            <w:r>
              <w:rPr>
                <w:sz w:val="22"/>
              </w:rPr>
              <w:t>BikeSafe.</w:t>
            </w:r>
          </w:p>
          <w:p>
            <w:pPr>
              <w:pStyle w:val="TableParagraph"/>
              <w:numPr>
                <w:ilvl w:val="0"/>
                <w:numId w:val="35"/>
              </w:numPr>
              <w:tabs>
                <w:tab w:pos="468" w:val="left" w:leader="none"/>
                <w:tab w:pos="469" w:val="left" w:leader="none"/>
              </w:tabs>
              <w:spacing w:line="240" w:lineRule="auto" w:before="0" w:after="0"/>
              <w:ind w:left="468" w:right="354" w:hanging="361"/>
              <w:jc w:val="left"/>
              <w:rPr>
                <w:sz w:val="22"/>
              </w:rPr>
            </w:pPr>
            <w:r>
              <w:rPr>
                <w:sz w:val="22"/>
              </w:rPr>
              <w:t>Road users who commit one of the fatal five offences are far more likely to be involved in a fatal collision than those who do</w:t>
            </w:r>
            <w:r>
              <w:rPr>
                <w:spacing w:val="-9"/>
                <w:sz w:val="22"/>
              </w:rPr>
              <w:t> </w:t>
            </w:r>
            <w:r>
              <w:rPr>
                <w:sz w:val="22"/>
              </w:rPr>
              <w:t>not.</w:t>
            </w:r>
          </w:p>
          <w:p>
            <w:pPr>
              <w:pStyle w:val="TableParagraph"/>
              <w:numPr>
                <w:ilvl w:val="0"/>
                <w:numId w:val="35"/>
              </w:numPr>
              <w:tabs>
                <w:tab w:pos="468" w:val="left" w:leader="none"/>
                <w:tab w:pos="469" w:val="left" w:leader="none"/>
              </w:tabs>
              <w:spacing w:line="240" w:lineRule="auto" w:before="0" w:after="0"/>
              <w:ind w:left="468" w:right="404" w:hanging="361"/>
              <w:jc w:val="left"/>
              <w:rPr>
                <w:sz w:val="22"/>
              </w:rPr>
            </w:pPr>
            <w:r>
              <w:rPr>
                <w:sz w:val="22"/>
              </w:rPr>
              <w:t>The York and North Yorkshire Road Safety Partnership has agreed to the principles of the Safe System approach and will shape a strategic outcomes framework around its four pillars (safer road users, safer vehicles, safer roads and post-crash response). These strategic outcomes will be addressed in partnership through education, engagement, engineering and</w:t>
            </w:r>
            <w:r>
              <w:rPr>
                <w:spacing w:val="-23"/>
                <w:sz w:val="22"/>
              </w:rPr>
              <w:t> </w:t>
            </w:r>
            <w:r>
              <w:rPr>
                <w:sz w:val="22"/>
              </w:rPr>
              <w:t>enforcement.</w:t>
            </w:r>
          </w:p>
          <w:p>
            <w:pPr>
              <w:pStyle w:val="TableParagraph"/>
              <w:numPr>
                <w:ilvl w:val="0"/>
                <w:numId w:val="35"/>
              </w:numPr>
              <w:tabs>
                <w:tab w:pos="468" w:val="left" w:leader="none"/>
                <w:tab w:pos="469" w:val="left" w:leader="none"/>
              </w:tabs>
              <w:spacing w:line="240" w:lineRule="auto" w:before="0" w:after="0"/>
              <w:ind w:left="468" w:right="170" w:hanging="361"/>
              <w:jc w:val="left"/>
              <w:rPr>
                <w:sz w:val="22"/>
              </w:rPr>
            </w:pPr>
            <w:r>
              <w:rPr>
                <w:sz w:val="22"/>
              </w:rPr>
              <w:t>The 2023/24 Organisational Redesign Project which will take a holistic approach to reshaping the organisation from April 2024 and will review options for the future design of the Roads Policing</w:t>
            </w:r>
            <w:r>
              <w:rPr>
                <w:spacing w:val="-10"/>
                <w:sz w:val="22"/>
              </w:rPr>
              <w:t> </w:t>
            </w:r>
            <w:r>
              <w:rPr>
                <w:sz w:val="22"/>
              </w:rPr>
              <w:t>Group.</w:t>
            </w:r>
          </w:p>
          <w:p>
            <w:pPr>
              <w:pStyle w:val="TableParagraph"/>
              <w:numPr>
                <w:ilvl w:val="0"/>
                <w:numId w:val="35"/>
              </w:numPr>
              <w:tabs>
                <w:tab w:pos="468" w:val="left" w:leader="none"/>
                <w:tab w:pos="469" w:val="left" w:leader="none"/>
              </w:tabs>
              <w:spacing w:line="240" w:lineRule="auto" w:before="0" w:after="0"/>
              <w:ind w:left="468" w:right="235" w:hanging="361"/>
              <w:jc w:val="left"/>
              <w:rPr>
                <w:sz w:val="22"/>
              </w:rPr>
            </w:pPr>
            <w:r>
              <w:rPr>
                <w:sz w:val="22"/>
              </w:rPr>
              <w:t>A full replacement of roadside handheld preliminary breath test kits is required as these devices are now rapidly approaching end of life and will require full replacement, failure to replace them will result in no capability in the coming years to effectively deal with those that drink and</w:t>
            </w:r>
            <w:r>
              <w:rPr>
                <w:spacing w:val="-11"/>
                <w:sz w:val="22"/>
              </w:rPr>
              <w:t> </w:t>
            </w:r>
            <w:r>
              <w:rPr>
                <w:sz w:val="22"/>
              </w:rPr>
              <w:t>drive.</w:t>
            </w:r>
          </w:p>
          <w:p>
            <w:pPr>
              <w:pStyle w:val="TableParagraph"/>
              <w:numPr>
                <w:ilvl w:val="0"/>
                <w:numId w:val="35"/>
              </w:numPr>
              <w:tabs>
                <w:tab w:pos="468" w:val="left" w:leader="none"/>
                <w:tab w:pos="470" w:val="left" w:leader="none"/>
              </w:tabs>
              <w:spacing w:line="240" w:lineRule="auto" w:before="0" w:after="0"/>
              <w:ind w:left="469" w:right="492" w:hanging="361"/>
              <w:jc w:val="left"/>
              <w:rPr>
                <w:sz w:val="22"/>
              </w:rPr>
            </w:pPr>
            <w:r>
              <w:rPr>
                <w:sz w:val="22"/>
              </w:rPr>
              <w:t>In June 2022, the Executive Board approved a proportional contribution into supporting the Safer Roads Strategy for the next 3 years, of £100k per year which can be used as a framework to bid for more sustainable</w:t>
            </w:r>
            <w:r>
              <w:rPr>
                <w:spacing w:val="-17"/>
                <w:sz w:val="22"/>
              </w:rPr>
              <w:t> </w:t>
            </w:r>
            <w:r>
              <w:rPr>
                <w:sz w:val="22"/>
              </w:rPr>
              <w:t>funding.</w:t>
            </w:r>
          </w:p>
          <w:p>
            <w:pPr>
              <w:pStyle w:val="TableParagraph"/>
              <w:numPr>
                <w:ilvl w:val="0"/>
                <w:numId w:val="35"/>
              </w:numPr>
              <w:tabs>
                <w:tab w:pos="469" w:val="left" w:leader="none"/>
                <w:tab w:pos="470" w:val="left" w:leader="none"/>
              </w:tabs>
              <w:spacing w:line="240" w:lineRule="auto" w:before="0" w:after="0"/>
              <w:ind w:left="469" w:right="107" w:hanging="361"/>
              <w:jc w:val="left"/>
              <w:rPr>
                <w:sz w:val="22"/>
              </w:rPr>
            </w:pPr>
            <w:r>
              <w:rPr>
                <w:sz w:val="22"/>
              </w:rPr>
              <w:t>If NYP is unable to enhance and deliver more effective road safety and demonstrate that every avenue to reduce death or life altering injuries on the roads of York and North Yorkshire it is predicted that they will remain at current levels that could result in reputational damage, have a negative impact on public perception and reduce public confidence in our approach to road</w:t>
            </w:r>
            <w:r>
              <w:rPr>
                <w:spacing w:val="-17"/>
                <w:sz w:val="22"/>
              </w:rPr>
              <w:t> </w:t>
            </w:r>
            <w:r>
              <w:rPr>
                <w:sz w:val="22"/>
              </w:rPr>
              <w:t>safety.</w:t>
            </w:r>
          </w:p>
        </w:tc>
      </w:tr>
      <w:tr>
        <w:trPr>
          <w:trHeight w:val="1086" w:hRule="atLeast"/>
        </w:trPr>
        <w:tc>
          <w:tcPr>
            <w:tcW w:w="1697" w:type="dxa"/>
          </w:tcPr>
          <w:p>
            <w:pPr>
              <w:pStyle w:val="TableParagraph"/>
              <w:spacing w:line="268" w:lineRule="exact"/>
              <w:ind w:left="107"/>
              <w:rPr>
                <w:sz w:val="22"/>
              </w:rPr>
            </w:pPr>
            <w:r>
              <w:rPr>
                <w:sz w:val="22"/>
              </w:rPr>
              <w:t>9c. Public Order</w:t>
            </w:r>
          </w:p>
        </w:tc>
        <w:tc>
          <w:tcPr>
            <w:tcW w:w="7795" w:type="dxa"/>
          </w:tcPr>
          <w:p>
            <w:pPr>
              <w:pStyle w:val="TableParagraph"/>
              <w:numPr>
                <w:ilvl w:val="0"/>
                <w:numId w:val="36"/>
              </w:numPr>
              <w:tabs>
                <w:tab w:pos="467" w:val="left" w:leader="none"/>
                <w:tab w:pos="468" w:val="left" w:leader="none"/>
              </w:tabs>
              <w:spacing w:line="240" w:lineRule="auto" w:before="0" w:after="0"/>
              <w:ind w:left="467" w:right="233" w:hanging="360"/>
              <w:jc w:val="left"/>
              <w:rPr>
                <w:sz w:val="22"/>
              </w:rPr>
            </w:pPr>
            <w:r>
              <w:rPr>
                <w:sz w:val="22"/>
              </w:rPr>
              <w:t>In context of regional and national public order, NYP is a net supplier of mutual aid for POPS operations and through effective planning and advance rostering the force generally manages to address our internal demands without</w:t>
            </w:r>
            <w:r>
              <w:rPr>
                <w:spacing w:val="-26"/>
                <w:sz w:val="22"/>
              </w:rPr>
              <w:t> </w:t>
            </w:r>
            <w:r>
              <w:rPr>
                <w:sz w:val="22"/>
              </w:rPr>
              <w:t>recourse</w:t>
            </w:r>
          </w:p>
          <w:p>
            <w:pPr>
              <w:pStyle w:val="TableParagraph"/>
              <w:spacing w:line="250" w:lineRule="exact"/>
              <w:ind w:left="467"/>
              <w:rPr>
                <w:sz w:val="22"/>
              </w:rPr>
            </w:pPr>
            <w:r>
              <w:rPr>
                <w:sz w:val="22"/>
              </w:rPr>
              <w:t>to mutual aid.</w:t>
            </w:r>
          </w:p>
        </w:tc>
      </w:tr>
    </w:tbl>
    <w:p>
      <w:pPr>
        <w:spacing w:after="0" w:line="250" w:lineRule="exac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5639" w:hRule="atLeast"/>
        </w:trPr>
        <w:tc>
          <w:tcPr>
            <w:tcW w:w="1697" w:type="dxa"/>
          </w:tcPr>
          <w:p>
            <w:pPr>
              <w:pStyle w:val="TableParagraph"/>
              <w:ind w:left="256"/>
              <w:rPr>
                <w:sz w:val="20"/>
              </w:rPr>
            </w:pPr>
            <w:r>
              <w:rPr>
                <w:sz w:val="20"/>
              </w:rPr>
              <w:drawing>
                <wp:inline distT="0" distB="0" distL="0" distR="0">
                  <wp:extent cx="683630" cy="683132"/>
                  <wp:effectExtent l="0" t="0" r="0" b="0"/>
                  <wp:docPr id="49" name="image25.png"/>
                  <wp:cNvGraphicFramePr>
                    <a:graphicFrameLocks noChangeAspect="1"/>
                  </wp:cNvGraphicFramePr>
                  <a:graphic>
                    <a:graphicData uri="http://schemas.openxmlformats.org/drawingml/2006/picture">
                      <pic:pic>
                        <pic:nvPicPr>
                          <pic:cNvPr id="50" name="image25.png"/>
                          <pic:cNvPicPr/>
                        </pic:nvPicPr>
                        <pic:blipFill>
                          <a:blip r:embed="rId32" cstate="print"/>
                          <a:stretch>
                            <a:fillRect/>
                          </a:stretch>
                        </pic:blipFill>
                        <pic:spPr>
                          <a:xfrm>
                            <a:off x="0" y="0"/>
                            <a:ext cx="683630" cy="683132"/>
                          </a:xfrm>
                          <a:prstGeom prst="rect">
                            <a:avLst/>
                          </a:prstGeom>
                        </pic:spPr>
                      </pic:pic>
                    </a:graphicData>
                  </a:graphic>
                </wp:inline>
              </w:drawing>
            </w:r>
            <w:r>
              <w:rPr>
                <w:sz w:val="20"/>
              </w:rPr>
            </w:r>
          </w:p>
        </w:tc>
        <w:tc>
          <w:tcPr>
            <w:tcW w:w="7795" w:type="dxa"/>
          </w:tcPr>
          <w:p>
            <w:pPr>
              <w:pStyle w:val="TableParagraph"/>
              <w:numPr>
                <w:ilvl w:val="0"/>
                <w:numId w:val="37"/>
              </w:numPr>
              <w:tabs>
                <w:tab w:pos="467" w:val="left" w:leader="none"/>
                <w:tab w:pos="468" w:val="left" w:leader="none"/>
              </w:tabs>
              <w:spacing w:line="240" w:lineRule="auto" w:before="0" w:after="0"/>
              <w:ind w:left="467" w:right="362" w:hanging="360"/>
              <w:jc w:val="left"/>
              <w:rPr>
                <w:sz w:val="22"/>
              </w:rPr>
            </w:pPr>
            <w:r>
              <w:rPr>
                <w:sz w:val="22"/>
              </w:rPr>
              <w:t>Internally, Public Order / Public Safety events include some York City and Harrogate Town football matches, a number of the York Racecourse meetings and a range of agricultural shows (including the Great Yorkshire Show) and in more recent times there have been several high profile royal</w:t>
            </w:r>
            <w:r>
              <w:rPr>
                <w:spacing w:val="-13"/>
                <w:sz w:val="22"/>
              </w:rPr>
              <w:t> </w:t>
            </w:r>
            <w:r>
              <w:rPr>
                <w:sz w:val="22"/>
              </w:rPr>
              <w:t>visits.</w:t>
            </w:r>
          </w:p>
          <w:p>
            <w:pPr>
              <w:pStyle w:val="TableParagraph"/>
              <w:numPr>
                <w:ilvl w:val="0"/>
                <w:numId w:val="37"/>
              </w:numPr>
              <w:tabs>
                <w:tab w:pos="467" w:val="left" w:leader="none"/>
                <w:tab w:pos="468" w:val="left" w:leader="none"/>
              </w:tabs>
              <w:spacing w:line="240" w:lineRule="auto" w:before="0" w:after="0"/>
              <w:ind w:left="467" w:right="578" w:hanging="361"/>
              <w:jc w:val="left"/>
              <w:rPr>
                <w:sz w:val="22"/>
              </w:rPr>
            </w:pPr>
            <w:r>
              <w:rPr>
                <w:sz w:val="22"/>
              </w:rPr>
              <w:t>NYP considers there to be sufficient capacity and capability to deal with the anticipated requirements within North</w:t>
            </w:r>
            <w:r>
              <w:rPr>
                <w:spacing w:val="-8"/>
                <w:sz w:val="22"/>
              </w:rPr>
              <w:t> </w:t>
            </w:r>
            <w:r>
              <w:rPr>
                <w:sz w:val="22"/>
              </w:rPr>
              <w:t>Yorkshire.</w:t>
            </w:r>
          </w:p>
          <w:p>
            <w:pPr>
              <w:pStyle w:val="TableParagraph"/>
              <w:numPr>
                <w:ilvl w:val="0"/>
                <w:numId w:val="37"/>
              </w:numPr>
              <w:tabs>
                <w:tab w:pos="467" w:val="left" w:leader="none"/>
                <w:tab w:pos="468" w:val="left" w:leader="none"/>
              </w:tabs>
              <w:spacing w:line="240" w:lineRule="auto" w:before="0" w:after="0"/>
              <w:ind w:left="467" w:right="618" w:hanging="361"/>
              <w:jc w:val="left"/>
              <w:rPr>
                <w:sz w:val="22"/>
              </w:rPr>
            </w:pPr>
            <w:r>
              <w:rPr>
                <w:sz w:val="22"/>
              </w:rPr>
              <w:t>There is a gap in capacity in relation to the way that the force works with football clubs to ensure that the most up to date, relevant information and intelligence is</w:t>
            </w:r>
            <w:r>
              <w:rPr>
                <w:spacing w:val="-2"/>
                <w:sz w:val="22"/>
              </w:rPr>
              <w:t> </w:t>
            </w:r>
            <w:r>
              <w:rPr>
                <w:sz w:val="22"/>
              </w:rPr>
              <w:t>gathered.</w:t>
            </w:r>
          </w:p>
          <w:p>
            <w:pPr>
              <w:pStyle w:val="TableParagraph"/>
              <w:numPr>
                <w:ilvl w:val="0"/>
                <w:numId w:val="37"/>
              </w:numPr>
              <w:tabs>
                <w:tab w:pos="468" w:val="left" w:leader="none"/>
                <w:tab w:pos="469" w:val="left" w:leader="none"/>
              </w:tabs>
              <w:spacing w:line="240" w:lineRule="auto" w:before="0" w:after="0"/>
              <w:ind w:left="468" w:right="261" w:hanging="361"/>
              <w:jc w:val="left"/>
              <w:rPr>
                <w:sz w:val="22"/>
              </w:rPr>
            </w:pPr>
            <w:r>
              <w:rPr>
                <w:sz w:val="22"/>
              </w:rPr>
              <w:t>NYP’s national mutual aid obligation is to provide 4 PSUs simultaneously. In order to do so, NYP consider that it needs to maintain between 8 and 10 Police Support Units trained to Tactical Level 2</w:t>
            </w:r>
            <w:r>
              <w:rPr>
                <w:spacing w:val="-10"/>
                <w:sz w:val="22"/>
              </w:rPr>
              <w:t> </w:t>
            </w:r>
            <w:r>
              <w:rPr>
                <w:sz w:val="22"/>
              </w:rPr>
              <w:t>(TL2).</w:t>
            </w:r>
          </w:p>
          <w:p>
            <w:pPr>
              <w:pStyle w:val="TableParagraph"/>
              <w:numPr>
                <w:ilvl w:val="0"/>
                <w:numId w:val="37"/>
              </w:numPr>
              <w:tabs>
                <w:tab w:pos="468" w:val="left" w:leader="none"/>
                <w:tab w:pos="469" w:val="left" w:leader="none"/>
              </w:tabs>
              <w:spacing w:line="240" w:lineRule="auto" w:before="0" w:after="0"/>
              <w:ind w:left="468" w:right="159" w:hanging="361"/>
              <w:jc w:val="left"/>
              <w:rPr>
                <w:sz w:val="22"/>
              </w:rPr>
            </w:pPr>
            <w:r>
              <w:rPr>
                <w:sz w:val="22"/>
              </w:rPr>
              <w:t>During 2020, a national requirement for Level 3 officers was defined for the first time. NYP’s maximum commitment would be 66 Level 3 officers to be deployed on mutual aid. The force is able to meet this requirement in terms the number of officers trained in the short</w:t>
            </w:r>
            <w:r>
              <w:rPr>
                <w:spacing w:val="-11"/>
                <w:sz w:val="22"/>
              </w:rPr>
              <w:t> </w:t>
            </w:r>
            <w:r>
              <w:rPr>
                <w:sz w:val="22"/>
              </w:rPr>
              <w:t>term.</w:t>
            </w:r>
          </w:p>
          <w:p>
            <w:pPr>
              <w:pStyle w:val="TableParagraph"/>
              <w:numPr>
                <w:ilvl w:val="0"/>
                <w:numId w:val="37"/>
              </w:numPr>
              <w:tabs>
                <w:tab w:pos="468" w:val="left" w:leader="none"/>
                <w:tab w:pos="469" w:val="left" w:leader="none"/>
              </w:tabs>
              <w:spacing w:line="240" w:lineRule="auto" w:before="0" w:after="0"/>
              <w:ind w:left="468" w:right="280" w:hanging="361"/>
              <w:jc w:val="left"/>
              <w:rPr>
                <w:sz w:val="22"/>
              </w:rPr>
            </w:pPr>
            <w:r>
              <w:rPr>
                <w:sz w:val="22"/>
              </w:rPr>
              <w:t>The force will continue to review the SRA using the revised methodology, evaluate capability and capacity and undertake any actions required to resolve issues of concern and inform any future costed plans for any capacity gaps and costed training plans for any skills</w:t>
            </w:r>
            <w:r>
              <w:rPr>
                <w:spacing w:val="-4"/>
                <w:sz w:val="22"/>
              </w:rPr>
              <w:t> </w:t>
            </w:r>
            <w:r>
              <w:rPr>
                <w:sz w:val="22"/>
              </w:rPr>
              <w:t>gaps.</w:t>
            </w:r>
          </w:p>
        </w:tc>
      </w:tr>
      <w:tr>
        <w:trPr>
          <w:trHeight w:val="5653" w:hRule="atLeast"/>
        </w:trPr>
        <w:tc>
          <w:tcPr>
            <w:tcW w:w="1697" w:type="dxa"/>
          </w:tcPr>
          <w:p>
            <w:pPr>
              <w:pStyle w:val="TableParagraph"/>
              <w:ind w:left="107" w:right="503"/>
              <w:rPr>
                <w:sz w:val="22"/>
              </w:rPr>
            </w:pPr>
            <w:r>
              <w:rPr>
                <w:sz w:val="22"/>
              </w:rPr>
              <w:t>9d. Counter Terrorism</w:t>
            </w:r>
          </w:p>
          <w:p>
            <w:pPr>
              <w:pStyle w:val="TableParagraph"/>
              <w:rPr>
                <w:sz w:val="22"/>
              </w:rPr>
            </w:pPr>
          </w:p>
          <w:p>
            <w:pPr>
              <w:pStyle w:val="TableParagraph"/>
              <w:ind w:left="256"/>
              <w:rPr>
                <w:sz w:val="20"/>
              </w:rPr>
            </w:pPr>
            <w:r>
              <w:rPr>
                <w:sz w:val="20"/>
              </w:rPr>
              <w:drawing>
                <wp:inline distT="0" distB="0" distL="0" distR="0">
                  <wp:extent cx="683133" cy="683133"/>
                  <wp:effectExtent l="0" t="0" r="0" b="0"/>
                  <wp:docPr id="51" name="image25.png"/>
                  <wp:cNvGraphicFramePr>
                    <a:graphicFrameLocks noChangeAspect="1"/>
                  </wp:cNvGraphicFramePr>
                  <a:graphic>
                    <a:graphicData uri="http://schemas.openxmlformats.org/drawingml/2006/picture">
                      <pic:pic>
                        <pic:nvPicPr>
                          <pic:cNvPr id="52" name="image25.png"/>
                          <pic:cNvPicPr/>
                        </pic:nvPicPr>
                        <pic:blipFill>
                          <a:blip r:embed="rId32" cstate="print"/>
                          <a:stretch>
                            <a:fillRect/>
                          </a:stretch>
                        </pic:blipFill>
                        <pic:spPr>
                          <a:xfrm>
                            <a:off x="0" y="0"/>
                            <a:ext cx="683133"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8"/>
              </w:rPr>
            </w:pPr>
          </w:p>
        </w:tc>
        <w:tc>
          <w:tcPr>
            <w:tcW w:w="7795" w:type="dxa"/>
          </w:tcPr>
          <w:p>
            <w:pPr>
              <w:pStyle w:val="TableParagraph"/>
              <w:numPr>
                <w:ilvl w:val="0"/>
                <w:numId w:val="38"/>
              </w:numPr>
              <w:tabs>
                <w:tab w:pos="467" w:val="left" w:leader="none"/>
                <w:tab w:pos="468" w:val="left" w:leader="none"/>
              </w:tabs>
              <w:spacing w:line="240" w:lineRule="auto" w:before="0" w:after="0"/>
              <w:ind w:left="467" w:right="98" w:hanging="360"/>
              <w:jc w:val="left"/>
              <w:rPr>
                <w:sz w:val="22"/>
              </w:rPr>
            </w:pPr>
            <w:r>
              <w:rPr>
                <w:sz w:val="22"/>
              </w:rPr>
              <w:t>The number of items referred to CTPNE Northallerton shows a downward trend in 2022/23 however, national indications suggest the next four years are unlikely to bring any significant reduction in the volume of CT</w:t>
            </w:r>
            <w:r>
              <w:rPr>
                <w:spacing w:val="-13"/>
                <w:sz w:val="22"/>
              </w:rPr>
              <w:t> </w:t>
            </w:r>
            <w:r>
              <w:rPr>
                <w:sz w:val="22"/>
              </w:rPr>
              <w:t>investigations.</w:t>
            </w:r>
          </w:p>
          <w:p>
            <w:pPr>
              <w:pStyle w:val="TableParagraph"/>
              <w:numPr>
                <w:ilvl w:val="0"/>
                <w:numId w:val="38"/>
              </w:numPr>
              <w:tabs>
                <w:tab w:pos="467" w:val="left" w:leader="none"/>
                <w:tab w:pos="468" w:val="left" w:leader="none"/>
              </w:tabs>
              <w:spacing w:line="240" w:lineRule="auto" w:before="0" w:after="0"/>
              <w:ind w:left="467" w:right="259" w:hanging="361"/>
              <w:jc w:val="left"/>
              <w:rPr>
                <w:sz w:val="22"/>
              </w:rPr>
            </w:pPr>
            <w:r>
              <w:rPr>
                <w:sz w:val="22"/>
              </w:rPr>
              <w:t>North Yorkshire continues to see an increasing trend in Prevent referrals which can be linked to a combination of proactivity and</w:t>
            </w:r>
            <w:r>
              <w:rPr>
                <w:spacing w:val="-12"/>
                <w:sz w:val="22"/>
              </w:rPr>
              <w:t> </w:t>
            </w:r>
            <w:r>
              <w:rPr>
                <w:sz w:val="22"/>
              </w:rPr>
              <w:t>education.</w:t>
            </w:r>
          </w:p>
          <w:p>
            <w:pPr>
              <w:pStyle w:val="TableParagraph"/>
              <w:numPr>
                <w:ilvl w:val="0"/>
                <w:numId w:val="38"/>
              </w:numPr>
              <w:tabs>
                <w:tab w:pos="467" w:val="left" w:leader="none"/>
                <w:tab w:pos="468" w:val="left" w:leader="none"/>
              </w:tabs>
              <w:spacing w:line="240" w:lineRule="auto" w:before="0" w:after="0"/>
              <w:ind w:left="467" w:right="148" w:hanging="361"/>
              <w:jc w:val="left"/>
              <w:rPr>
                <w:sz w:val="22"/>
              </w:rPr>
            </w:pPr>
            <w:r>
              <w:rPr>
                <w:sz w:val="22"/>
              </w:rPr>
              <w:t>CTPNE Northallerton has the capacity to meet its current demand. The regionalisation of CT resources in the North East has resulted in increased resilience and flexibility to cope with any unanticipated increase in demand. The governance and management structures allow resources to be flexed to meet any increased threat and</w:t>
            </w:r>
            <w:r>
              <w:rPr>
                <w:spacing w:val="-1"/>
                <w:sz w:val="22"/>
              </w:rPr>
              <w:t> </w:t>
            </w:r>
            <w:r>
              <w:rPr>
                <w:sz w:val="22"/>
              </w:rPr>
              <w:t>risk.</w:t>
            </w:r>
          </w:p>
          <w:p>
            <w:pPr>
              <w:pStyle w:val="TableParagraph"/>
              <w:numPr>
                <w:ilvl w:val="0"/>
                <w:numId w:val="38"/>
              </w:numPr>
              <w:tabs>
                <w:tab w:pos="467" w:val="left" w:leader="none"/>
                <w:tab w:pos="468" w:val="left" w:leader="none"/>
              </w:tabs>
              <w:spacing w:line="240" w:lineRule="auto" w:before="0" w:after="0"/>
              <w:ind w:left="467" w:right="95" w:hanging="361"/>
              <w:jc w:val="left"/>
              <w:rPr>
                <w:sz w:val="22"/>
              </w:rPr>
            </w:pPr>
            <w:r>
              <w:rPr>
                <w:sz w:val="22"/>
              </w:rPr>
              <w:t>CTPNE Northallerton is equipped with the expertise and support from the wider regional network to meet its stated aim to mitigate the threat from international terrorism and domestic</w:t>
            </w:r>
            <w:r>
              <w:rPr>
                <w:spacing w:val="-5"/>
                <w:sz w:val="22"/>
              </w:rPr>
              <w:t> </w:t>
            </w:r>
            <w:r>
              <w:rPr>
                <w:sz w:val="22"/>
              </w:rPr>
              <w:t>extremism.</w:t>
            </w:r>
          </w:p>
          <w:p>
            <w:pPr>
              <w:pStyle w:val="TableParagraph"/>
              <w:numPr>
                <w:ilvl w:val="0"/>
                <w:numId w:val="38"/>
              </w:numPr>
              <w:tabs>
                <w:tab w:pos="467" w:val="left" w:leader="none"/>
                <w:tab w:pos="468" w:val="left" w:leader="none"/>
              </w:tabs>
              <w:spacing w:line="240" w:lineRule="auto" w:before="0" w:after="0"/>
              <w:ind w:left="467" w:right="341" w:hanging="361"/>
              <w:jc w:val="left"/>
              <w:rPr>
                <w:sz w:val="22"/>
              </w:rPr>
            </w:pPr>
            <w:r>
              <w:rPr>
                <w:sz w:val="22"/>
              </w:rPr>
              <w:t>Online radicalisation and the increasing use of technology by extremists are areas of increasing concern, with the online space offering a readily accessible platform for extremists to communicate, recruit and</w:t>
            </w:r>
            <w:r>
              <w:rPr>
                <w:spacing w:val="-9"/>
                <w:sz w:val="22"/>
              </w:rPr>
              <w:t> </w:t>
            </w:r>
            <w:r>
              <w:rPr>
                <w:sz w:val="22"/>
              </w:rPr>
              <w:t>facilitate.</w:t>
            </w:r>
          </w:p>
          <w:p>
            <w:pPr>
              <w:pStyle w:val="TableParagraph"/>
              <w:numPr>
                <w:ilvl w:val="0"/>
                <w:numId w:val="38"/>
              </w:numPr>
              <w:tabs>
                <w:tab w:pos="468" w:val="left" w:leader="none"/>
                <w:tab w:pos="469" w:val="left" w:leader="none"/>
              </w:tabs>
              <w:spacing w:line="240" w:lineRule="auto" w:before="0" w:after="0"/>
              <w:ind w:left="468" w:right="347" w:hanging="361"/>
              <w:jc w:val="left"/>
              <w:rPr>
                <w:sz w:val="22"/>
              </w:rPr>
            </w:pPr>
            <w:r>
              <w:rPr>
                <w:sz w:val="22"/>
              </w:rPr>
              <w:t>The regionalisation of CT resources in the North East has resulted in increased resilience and flexibility to cope with any unanticipated increase in</w:t>
            </w:r>
            <w:r>
              <w:rPr>
                <w:spacing w:val="-25"/>
                <w:sz w:val="22"/>
              </w:rPr>
              <w:t> </w:t>
            </w:r>
            <w:r>
              <w:rPr>
                <w:sz w:val="22"/>
              </w:rPr>
              <w:t>demand.</w:t>
            </w:r>
          </w:p>
          <w:p>
            <w:pPr>
              <w:pStyle w:val="TableParagraph"/>
              <w:numPr>
                <w:ilvl w:val="0"/>
                <w:numId w:val="38"/>
              </w:numPr>
              <w:tabs>
                <w:tab w:pos="468" w:val="left" w:leader="none"/>
                <w:tab w:pos="469" w:val="left" w:leader="none"/>
              </w:tabs>
              <w:spacing w:line="240" w:lineRule="auto" w:before="0" w:after="0"/>
              <w:ind w:left="467" w:right="313" w:hanging="360"/>
              <w:jc w:val="left"/>
              <w:rPr>
                <w:sz w:val="22"/>
              </w:rPr>
            </w:pPr>
            <w:r>
              <w:rPr>
                <w:sz w:val="22"/>
              </w:rPr>
              <w:t>It is not anticipated that there will be any residual demand that cannot be met through the CT</w:t>
            </w:r>
            <w:r>
              <w:rPr>
                <w:spacing w:val="-4"/>
                <w:sz w:val="22"/>
              </w:rPr>
              <w:t> </w:t>
            </w:r>
            <w:r>
              <w:rPr>
                <w:sz w:val="22"/>
              </w:rPr>
              <w:t>network.</w:t>
            </w:r>
          </w:p>
        </w:tc>
      </w:tr>
      <w:tr>
        <w:trPr>
          <w:trHeight w:val="3002" w:hRule="atLeast"/>
        </w:trPr>
        <w:tc>
          <w:tcPr>
            <w:tcW w:w="1697" w:type="dxa"/>
          </w:tcPr>
          <w:p>
            <w:pPr>
              <w:pStyle w:val="TableParagraph"/>
              <w:ind w:left="107" w:right="303"/>
              <w:rPr>
                <w:sz w:val="22"/>
              </w:rPr>
            </w:pPr>
            <w:r>
              <w:rPr>
                <w:sz w:val="22"/>
              </w:rPr>
              <w:t>9e. Civil Contingencies</w:t>
            </w:r>
          </w:p>
          <w:p>
            <w:pPr>
              <w:pStyle w:val="TableParagraph"/>
              <w:spacing w:before="12"/>
              <w:rPr>
                <w:sz w:val="21"/>
              </w:rPr>
            </w:pPr>
          </w:p>
          <w:p>
            <w:pPr>
              <w:pStyle w:val="TableParagraph"/>
              <w:ind w:left="256"/>
              <w:rPr>
                <w:sz w:val="20"/>
              </w:rPr>
            </w:pPr>
            <w:r>
              <w:rPr>
                <w:sz w:val="20"/>
              </w:rPr>
              <w:drawing>
                <wp:inline distT="0" distB="0" distL="0" distR="0">
                  <wp:extent cx="683137" cy="683132"/>
                  <wp:effectExtent l="0" t="0" r="0" b="0"/>
                  <wp:docPr id="53" name="image25.png"/>
                  <wp:cNvGraphicFramePr>
                    <a:graphicFrameLocks noChangeAspect="1"/>
                  </wp:cNvGraphicFramePr>
                  <a:graphic>
                    <a:graphicData uri="http://schemas.openxmlformats.org/drawingml/2006/picture">
                      <pic:pic>
                        <pic:nvPicPr>
                          <pic:cNvPr id="54" name="image25.png"/>
                          <pic:cNvPicPr/>
                        </pic:nvPicPr>
                        <pic:blipFill>
                          <a:blip r:embed="rId32" cstate="print"/>
                          <a:stretch>
                            <a:fillRect/>
                          </a:stretch>
                        </pic:blipFill>
                        <pic:spPr>
                          <a:xfrm>
                            <a:off x="0" y="0"/>
                            <a:ext cx="683137"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39"/>
              </w:numPr>
              <w:tabs>
                <w:tab w:pos="467" w:val="left" w:leader="none"/>
                <w:tab w:pos="468" w:val="left" w:leader="none"/>
              </w:tabs>
              <w:spacing w:line="240" w:lineRule="auto" w:before="0" w:after="0"/>
              <w:ind w:left="467" w:right="118" w:hanging="360"/>
              <w:jc w:val="left"/>
              <w:rPr>
                <w:sz w:val="22"/>
              </w:rPr>
            </w:pPr>
            <w:r>
              <w:rPr>
                <w:sz w:val="22"/>
              </w:rPr>
              <w:t>The Emergency Planning Unit (EPU) activity aims to ensure NYP is fit for purpose by providing a structured approach to Integrated Emergency Management (IEM) and to facilitate an effective professional and structured response to any emergency regardless of the cause in line with professional</w:t>
            </w:r>
            <w:r>
              <w:rPr>
                <w:spacing w:val="-14"/>
                <w:sz w:val="22"/>
              </w:rPr>
              <w:t> </w:t>
            </w:r>
            <w:r>
              <w:rPr>
                <w:sz w:val="22"/>
              </w:rPr>
              <w:t>practice.</w:t>
            </w:r>
          </w:p>
          <w:p>
            <w:pPr>
              <w:pStyle w:val="TableParagraph"/>
              <w:numPr>
                <w:ilvl w:val="0"/>
                <w:numId w:val="39"/>
              </w:numPr>
              <w:tabs>
                <w:tab w:pos="467" w:val="left" w:leader="none"/>
                <w:tab w:pos="468" w:val="left" w:leader="none"/>
              </w:tabs>
              <w:spacing w:line="240" w:lineRule="auto" w:before="0" w:after="0"/>
              <w:ind w:left="467" w:right="367" w:hanging="361"/>
              <w:jc w:val="left"/>
              <w:rPr>
                <w:sz w:val="22"/>
              </w:rPr>
            </w:pPr>
            <w:r>
              <w:rPr>
                <w:sz w:val="22"/>
              </w:rPr>
              <w:t>EPU is a team of three FTE that sits as part of the Operations and Contingency Planning Team (O&amp;CP) within the Specialist Operations</w:t>
            </w:r>
            <w:r>
              <w:rPr>
                <w:spacing w:val="-9"/>
                <w:sz w:val="22"/>
              </w:rPr>
              <w:t> </w:t>
            </w:r>
            <w:r>
              <w:rPr>
                <w:sz w:val="22"/>
              </w:rPr>
              <w:t>function.</w:t>
            </w:r>
          </w:p>
          <w:p>
            <w:pPr>
              <w:pStyle w:val="TableParagraph"/>
              <w:numPr>
                <w:ilvl w:val="0"/>
                <w:numId w:val="39"/>
              </w:numPr>
              <w:tabs>
                <w:tab w:pos="467" w:val="left" w:leader="none"/>
                <w:tab w:pos="468" w:val="left" w:leader="none"/>
              </w:tabs>
              <w:spacing w:line="240" w:lineRule="auto" w:before="0" w:after="0"/>
              <w:ind w:left="467" w:right="163" w:hanging="361"/>
              <w:jc w:val="left"/>
              <w:rPr>
                <w:sz w:val="22"/>
              </w:rPr>
            </w:pPr>
            <w:r>
              <w:rPr>
                <w:sz w:val="22"/>
              </w:rPr>
              <w:t>Following the move to a unitary council in 2023, North Yorkshire County Council (NYCC) has become North Yorkshire Council and NYLRF has become the York &amp; North Yorkshire Local Resilience Forum</w:t>
            </w:r>
            <w:r>
              <w:rPr>
                <w:spacing w:val="-3"/>
                <w:sz w:val="22"/>
              </w:rPr>
              <w:t> </w:t>
            </w:r>
            <w:r>
              <w:rPr>
                <w:sz w:val="22"/>
              </w:rPr>
              <w:t>(Y&amp;NYLRF).</w:t>
            </w:r>
          </w:p>
          <w:p>
            <w:pPr>
              <w:pStyle w:val="TableParagraph"/>
              <w:numPr>
                <w:ilvl w:val="0"/>
                <w:numId w:val="39"/>
              </w:numPr>
              <w:tabs>
                <w:tab w:pos="467" w:val="left" w:leader="none"/>
                <w:tab w:pos="468" w:val="left" w:leader="none"/>
              </w:tabs>
              <w:spacing w:line="268" w:lineRule="exact" w:before="4" w:after="0"/>
              <w:ind w:left="467" w:right="568" w:hanging="360"/>
              <w:jc w:val="left"/>
              <w:rPr>
                <w:sz w:val="22"/>
              </w:rPr>
            </w:pPr>
            <w:r>
              <w:rPr>
                <w:sz w:val="22"/>
              </w:rPr>
              <w:t>NYP have been involved in the development of the Y&amp;NYLRF programme to drive the local resilience forum forward over the next four</w:t>
            </w:r>
            <w:r>
              <w:rPr>
                <w:spacing w:val="-11"/>
                <w:sz w:val="22"/>
              </w:rPr>
              <w:t> </w:t>
            </w:r>
            <w:r>
              <w:rPr>
                <w:sz w:val="22"/>
              </w:rPr>
              <w:t>years.</w:t>
            </w:r>
          </w:p>
        </w:tc>
      </w:tr>
    </w:tbl>
    <w:p>
      <w:pPr>
        <w:spacing w:after="0" w:line="268" w:lineRule="exac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5382" w:hRule="atLeast"/>
        </w:trPr>
        <w:tc>
          <w:tcPr>
            <w:tcW w:w="1697" w:type="dxa"/>
          </w:tcPr>
          <w:p>
            <w:pPr>
              <w:pStyle w:val="TableParagraph"/>
              <w:rPr>
                <w:rFonts w:ascii="Times New Roman"/>
                <w:sz w:val="22"/>
              </w:rPr>
            </w:pPr>
          </w:p>
        </w:tc>
        <w:tc>
          <w:tcPr>
            <w:tcW w:w="7795" w:type="dxa"/>
          </w:tcPr>
          <w:p>
            <w:pPr>
              <w:pStyle w:val="TableParagraph"/>
              <w:numPr>
                <w:ilvl w:val="0"/>
                <w:numId w:val="40"/>
              </w:numPr>
              <w:tabs>
                <w:tab w:pos="467" w:val="left" w:leader="none"/>
                <w:tab w:pos="468" w:val="left" w:leader="none"/>
              </w:tabs>
              <w:spacing w:line="240" w:lineRule="auto" w:before="0" w:after="0"/>
              <w:ind w:left="467" w:right="132" w:hanging="360"/>
              <w:jc w:val="left"/>
              <w:rPr>
                <w:sz w:val="22"/>
              </w:rPr>
            </w:pPr>
            <w:r>
              <w:rPr>
                <w:sz w:val="22"/>
              </w:rPr>
              <w:t>The EPU is embedding the ‘EPU annual planning rhythm’ for the management of IEM to be</w:t>
            </w:r>
            <w:r>
              <w:rPr>
                <w:spacing w:val="-1"/>
                <w:sz w:val="22"/>
              </w:rPr>
              <w:t> </w:t>
            </w:r>
            <w:r>
              <w:rPr>
                <w:sz w:val="22"/>
              </w:rPr>
              <w:t>achieved.</w:t>
            </w:r>
          </w:p>
          <w:p>
            <w:pPr>
              <w:pStyle w:val="TableParagraph"/>
              <w:numPr>
                <w:ilvl w:val="0"/>
                <w:numId w:val="40"/>
              </w:numPr>
              <w:tabs>
                <w:tab w:pos="467" w:val="left" w:leader="none"/>
                <w:tab w:pos="468" w:val="left" w:leader="none"/>
              </w:tabs>
              <w:spacing w:line="240" w:lineRule="auto" w:before="0" w:after="0"/>
              <w:ind w:left="467" w:right="298" w:hanging="361"/>
              <w:jc w:val="left"/>
              <w:rPr>
                <w:sz w:val="22"/>
              </w:rPr>
            </w:pPr>
            <w:r>
              <w:rPr>
                <w:sz w:val="22"/>
              </w:rPr>
              <w:t>Animal Disease continues to pose a risk due to the extensive size of rural areas of NY and the size of rural livestock, birds and</w:t>
            </w:r>
            <w:r>
              <w:rPr>
                <w:spacing w:val="-11"/>
                <w:sz w:val="22"/>
              </w:rPr>
              <w:t> </w:t>
            </w:r>
            <w:r>
              <w:rPr>
                <w:sz w:val="22"/>
              </w:rPr>
              <w:t>wildlife.</w:t>
            </w:r>
          </w:p>
          <w:p>
            <w:pPr>
              <w:pStyle w:val="TableParagraph"/>
              <w:numPr>
                <w:ilvl w:val="0"/>
                <w:numId w:val="40"/>
              </w:numPr>
              <w:tabs>
                <w:tab w:pos="467" w:val="left" w:leader="none"/>
                <w:tab w:pos="468" w:val="left" w:leader="none"/>
              </w:tabs>
              <w:spacing w:line="240" w:lineRule="auto" w:before="0" w:after="0"/>
              <w:ind w:left="467" w:right="326" w:hanging="361"/>
              <w:jc w:val="left"/>
              <w:rPr>
                <w:sz w:val="22"/>
              </w:rPr>
            </w:pPr>
            <w:r>
              <w:rPr>
                <w:sz w:val="22"/>
              </w:rPr>
              <w:t>As April 2023, the UK Chief Veterinary Officer announced that mandatory housing measures for poultry and captive birds, which were introduced across England to help stop the spread of bird flu have been lifted but scrupulous standards of biosecurity remain</w:t>
            </w:r>
            <w:r>
              <w:rPr>
                <w:spacing w:val="-5"/>
                <w:sz w:val="22"/>
              </w:rPr>
              <w:t> </w:t>
            </w:r>
            <w:r>
              <w:rPr>
                <w:sz w:val="22"/>
              </w:rPr>
              <w:t>essential.</w:t>
            </w:r>
          </w:p>
          <w:p>
            <w:pPr>
              <w:pStyle w:val="TableParagraph"/>
              <w:numPr>
                <w:ilvl w:val="0"/>
                <w:numId w:val="40"/>
              </w:numPr>
              <w:tabs>
                <w:tab w:pos="468" w:val="left" w:leader="none"/>
              </w:tabs>
              <w:spacing w:line="240" w:lineRule="auto" w:before="0" w:after="0"/>
              <w:ind w:left="467" w:right="397" w:hanging="361"/>
              <w:jc w:val="both"/>
              <w:rPr>
                <w:sz w:val="22"/>
              </w:rPr>
            </w:pPr>
            <w:r>
              <w:rPr>
                <w:sz w:val="22"/>
              </w:rPr>
              <w:t>Extreme weather event such as storms resulting in floods are becoming more common and widespread across NY and are difficult to plan for, as the extent and impact of rainfall damage cannot be</w:t>
            </w:r>
            <w:r>
              <w:rPr>
                <w:spacing w:val="-4"/>
                <w:sz w:val="22"/>
              </w:rPr>
              <w:t> </w:t>
            </w:r>
            <w:r>
              <w:rPr>
                <w:sz w:val="22"/>
              </w:rPr>
              <w:t>predetermined.</w:t>
            </w:r>
          </w:p>
          <w:p>
            <w:pPr>
              <w:pStyle w:val="TableParagraph"/>
              <w:numPr>
                <w:ilvl w:val="0"/>
                <w:numId w:val="40"/>
              </w:numPr>
              <w:tabs>
                <w:tab w:pos="468" w:val="left" w:leader="none"/>
              </w:tabs>
              <w:spacing w:line="240" w:lineRule="auto" w:before="0" w:after="0"/>
              <w:ind w:left="467" w:right="450" w:hanging="361"/>
              <w:jc w:val="both"/>
              <w:rPr>
                <w:sz w:val="22"/>
              </w:rPr>
            </w:pPr>
            <w:r>
              <w:rPr>
                <w:sz w:val="22"/>
              </w:rPr>
              <w:t>As we have moved out of the COVID19 response phase it has enabled NYP to reshape and align more closely with the Y&amp;NYLRF</w:t>
            </w:r>
            <w:r>
              <w:rPr>
                <w:spacing w:val="-7"/>
                <w:sz w:val="22"/>
              </w:rPr>
              <w:t> </w:t>
            </w:r>
            <w:r>
              <w:rPr>
                <w:sz w:val="22"/>
              </w:rPr>
              <w:t>cycle.</w:t>
            </w:r>
          </w:p>
          <w:p>
            <w:pPr>
              <w:pStyle w:val="TableParagraph"/>
              <w:numPr>
                <w:ilvl w:val="0"/>
                <w:numId w:val="40"/>
              </w:numPr>
              <w:tabs>
                <w:tab w:pos="467" w:val="left" w:leader="none"/>
                <w:tab w:pos="468" w:val="left" w:leader="none"/>
              </w:tabs>
              <w:spacing w:line="240" w:lineRule="auto" w:before="0" w:after="0"/>
              <w:ind w:left="467" w:right="296" w:hanging="360"/>
              <w:jc w:val="left"/>
              <w:rPr>
                <w:sz w:val="22"/>
              </w:rPr>
            </w:pPr>
            <w:r>
              <w:rPr>
                <w:sz w:val="22"/>
              </w:rPr>
              <w:t>The specific sites of interest plans (e.g., crowded places, COMAH, utility sites) are going to be reviewed to determine if the plans are still required which may impact on any training exercises</w:t>
            </w:r>
            <w:r>
              <w:rPr>
                <w:spacing w:val="-4"/>
                <w:sz w:val="22"/>
              </w:rPr>
              <w:t> </w:t>
            </w:r>
            <w:r>
              <w:rPr>
                <w:sz w:val="22"/>
              </w:rPr>
              <w:t>undertaken.</w:t>
            </w:r>
          </w:p>
          <w:p>
            <w:pPr>
              <w:pStyle w:val="TableParagraph"/>
              <w:numPr>
                <w:ilvl w:val="0"/>
                <w:numId w:val="40"/>
              </w:numPr>
              <w:tabs>
                <w:tab w:pos="467" w:val="left" w:leader="none"/>
                <w:tab w:pos="468" w:val="left" w:leader="none"/>
              </w:tabs>
              <w:spacing w:line="240" w:lineRule="auto" w:before="0" w:after="0"/>
              <w:ind w:left="467" w:right="220" w:hanging="360"/>
              <w:jc w:val="left"/>
              <w:rPr>
                <w:sz w:val="22"/>
              </w:rPr>
            </w:pPr>
            <w:r>
              <w:rPr>
                <w:sz w:val="22"/>
              </w:rPr>
              <w:t>Sufficient capacity is in place within the partnership to meet demand, however, should there be a number of live civil emergencies running concurrently then this would potentially place a strain both on NYP and wider partner</w:t>
            </w:r>
            <w:r>
              <w:rPr>
                <w:spacing w:val="-26"/>
                <w:sz w:val="22"/>
              </w:rPr>
              <w:t> </w:t>
            </w:r>
            <w:r>
              <w:rPr>
                <w:sz w:val="22"/>
              </w:rPr>
              <w:t>resourcing.</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2" w:hRule="atLeast"/>
        </w:trPr>
        <w:tc>
          <w:tcPr>
            <w:tcW w:w="9492" w:type="dxa"/>
            <w:gridSpan w:val="2"/>
            <w:shd w:val="clear" w:color="auto" w:fill="41A78D"/>
          </w:tcPr>
          <w:p>
            <w:pPr>
              <w:pStyle w:val="TableParagraph"/>
              <w:spacing w:line="323" w:lineRule="exact"/>
              <w:ind w:left="107"/>
              <w:rPr>
                <w:b/>
                <w:sz w:val="28"/>
              </w:rPr>
            </w:pPr>
            <w:r>
              <w:rPr>
                <w:b/>
                <w:color w:val="FFFFFF"/>
                <w:sz w:val="28"/>
              </w:rPr>
              <w:t>Chapter 10: Knowledge Management and ICT</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7355" w:hRule="atLeast"/>
        </w:trPr>
        <w:tc>
          <w:tcPr>
            <w:tcW w:w="1697" w:type="dxa"/>
          </w:tcPr>
          <w:p>
            <w:pPr>
              <w:pStyle w:val="TableParagraph"/>
              <w:spacing w:line="268" w:lineRule="exact"/>
              <w:ind w:left="107"/>
              <w:rPr>
                <w:sz w:val="22"/>
              </w:rPr>
            </w:pPr>
            <w:r>
              <w:rPr>
                <w:sz w:val="22"/>
              </w:rPr>
              <w:t>10a. ICT</w:t>
            </w:r>
          </w:p>
          <w:p>
            <w:pPr>
              <w:pStyle w:val="TableParagraph"/>
              <w:ind w:left="306"/>
              <w:rPr>
                <w:sz w:val="20"/>
              </w:rPr>
            </w:pPr>
            <w:r>
              <w:rPr>
                <w:sz w:val="20"/>
              </w:rPr>
              <w:drawing>
                <wp:inline distT="0" distB="0" distL="0" distR="0">
                  <wp:extent cx="683133" cy="683133"/>
                  <wp:effectExtent l="0" t="0" r="0" b="0"/>
                  <wp:docPr id="55" name="image26.png"/>
                  <wp:cNvGraphicFramePr>
                    <a:graphicFrameLocks noChangeAspect="1"/>
                  </wp:cNvGraphicFramePr>
                  <a:graphic>
                    <a:graphicData uri="http://schemas.openxmlformats.org/drawingml/2006/picture">
                      <pic:pic>
                        <pic:nvPicPr>
                          <pic:cNvPr id="56" name="image26.png"/>
                          <pic:cNvPicPr/>
                        </pic:nvPicPr>
                        <pic:blipFill>
                          <a:blip r:embed="rId33" cstate="print"/>
                          <a:stretch>
                            <a:fillRect/>
                          </a:stretch>
                        </pic:blipFill>
                        <pic:spPr>
                          <a:xfrm>
                            <a:off x="0" y="0"/>
                            <a:ext cx="683133" cy="683133"/>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41"/>
              </w:numPr>
              <w:tabs>
                <w:tab w:pos="467" w:val="left" w:leader="none"/>
                <w:tab w:pos="468" w:val="left" w:leader="none"/>
              </w:tabs>
              <w:spacing w:line="240" w:lineRule="auto" w:before="0" w:after="0"/>
              <w:ind w:left="467" w:right="905" w:hanging="360"/>
              <w:jc w:val="left"/>
              <w:rPr>
                <w:sz w:val="22"/>
              </w:rPr>
            </w:pPr>
            <w:r>
              <w:rPr>
                <w:sz w:val="22"/>
              </w:rPr>
              <w:t>Demand on ICT services fluctuates with new officer intakes, operational seasonality and project demand.</w:t>
            </w:r>
          </w:p>
          <w:p>
            <w:pPr>
              <w:pStyle w:val="TableParagraph"/>
              <w:numPr>
                <w:ilvl w:val="0"/>
                <w:numId w:val="41"/>
              </w:numPr>
              <w:tabs>
                <w:tab w:pos="467" w:val="left" w:leader="none"/>
                <w:tab w:pos="468" w:val="left" w:leader="none"/>
              </w:tabs>
              <w:spacing w:line="240" w:lineRule="auto" w:before="0" w:after="0"/>
              <w:ind w:left="467" w:right="121" w:hanging="360"/>
              <w:jc w:val="left"/>
              <w:rPr>
                <w:sz w:val="22"/>
              </w:rPr>
            </w:pPr>
            <w:r>
              <w:rPr>
                <w:sz w:val="22"/>
              </w:rPr>
              <w:t>ICT is key to enhancing and maximising the productivity of the front line and wider force-wide functions through the effective use of technology e.g. reducing bureaucracy, digitising</w:t>
            </w:r>
            <w:r>
              <w:rPr>
                <w:spacing w:val="-4"/>
                <w:sz w:val="22"/>
              </w:rPr>
              <w:t> </w:t>
            </w:r>
            <w:r>
              <w:rPr>
                <w:sz w:val="22"/>
              </w:rPr>
              <w:t>processes.</w:t>
            </w:r>
          </w:p>
          <w:p>
            <w:pPr>
              <w:pStyle w:val="TableParagraph"/>
              <w:numPr>
                <w:ilvl w:val="0"/>
                <w:numId w:val="41"/>
              </w:numPr>
              <w:tabs>
                <w:tab w:pos="467" w:val="left" w:leader="none"/>
                <w:tab w:pos="468" w:val="left" w:leader="none"/>
              </w:tabs>
              <w:spacing w:line="240" w:lineRule="auto" w:before="0" w:after="0"/>
              <w:ind w:left="467" w:right="172" w:hanging="360"/>
              <w:jc w:val="left"/>
              <w:rPr>
                <w:sz w:val="22"/>
              </w:rPr>
            </w:pPr>
            <w:r>
              <w:rPr>
                <w:sz w:val="22"/>
              </w:rPr>
              <w:t>A new support tool was introduced in March 2022, this resulted in an overall increase of demand as officers and staff began to use the tool however increase the automation and workflow capabilities of the tool have facilitated improvements within the</w:t>
            </w:r>
            <w:r>
              <w:rPr>
                <w:spacing w:val="-1"/>
                <w:sz w:val="22"/>
              </w:rPr>
              <w:t> </w:t>
            </w:r>
            <w:r>
              <w:rPr>
                <w:sz w:val="22"/>
              </w:rPr>
              <w:t>department.</w:t>
            </w:r>
          </w:p>
          <w:p>
            <w:pPr>
              <w:pStyle w:val="TableParagraph"/>
              <w:numPr>
                <w:ilvl w:val="0"/>
                <w:numId w:val="41"/>
              </w:numPr>
              <w:tabs>
                <w:tab w:pos="467" w:val="left" w:leader="none"/>
                <w:tab w:pos="468" w:val="left" w:leader="none"/>
              </w:tabs>
              <w:spacing w:line="237" w:lineRule="auto" w:before="2" w:after="0"/>
              <w:ind w:left="467" w:right="293" w:hanging="361"/>
              <w:jc w:val="left"/>
              <w:rPr>
                <w:sz w:val="22"/>
              </w:rPr>
            </w:pPr>
            <w:r>
              <w:rPr>
                <w:sz w:val="22"/>
              </w:rPr>
              <w:t>A major refresh of the police infrastructure is planned for 2023-2025 allowing the infrastructure to be remodelled to better fit the operational</w:t>
            </w:r>
            <w:r>
              <w:rPr>
                <w:spacing w:val="-29"/>
                <w:sz w:val="22"/>
              </w:rPr>
              <w:t> </w:t>
            </w:r>
            <w:r>
              <w:rPr>
                <w:sz w:val="22"/>
              </w:rPr>
              <w:t>requirements.</w:t>
            </w:r>
          </w:p>
          <w:p>
            <w:pPr>
              <w:pStyle w:val="TableParagraph"/>
              <w:numPr>
                <w:ilvl w:val="0"/>
                <w:numId w:val="41"/>
              </w:numPr>
              <w:tabs>
                <w:tab w:pos="467" w:val="left" w:leader="none"/>
                <w:tab w:pos="468" w:val="left" w:leader="none"/>
              </w:tabs>
              <w:spacing w:line="240" w:lineRule="auto" w:before="2" w:after="0"/>
              <w:ind w:left="467" w:right="159" w:hanging="361"/>
              <w:jc w:val="left"/>
              <w:rPr>
                <w:sz w:val="22"/>
              </w:rPr>
            </w:pPr>
            <w:r>
              <w:rPr>
                <w:sz w:val="22"/>
              </w:rPr>
              <w:t>The National Policing Digital Strategy places digital transformation at the heart of their ambitions for the police service - 90% of all data has been created in the last 2</w:t>
            </w:r>
            <w:r>
              <w:rPr>
                <w:spacing w:val="-1"/>
                <w:sz w:val="22"/>
              </w:rPr>
              <w:t> </w:t>
            </w:r>
            <w:r>
              <w:rPr>
                <w:sz w:val="22"/>
              </w:rPr>
              <w:t>years.</w:t>
            </w:r>
          </w:p>
          <w:p>
            <w:pPr>
              <w:pStyle w:val="TableParagraph"/>
              <w:numPr>
                <w:ilvl w:val="0"/>
                <w:numId w:val="41"/>
              </w:numPr>
              <w:tabs>
                <w:tab w:pos="467" w:val="left" w:leader="none"/>
                <w:tab w:pos="468" w:val="left" w:leader="none"/>
              </w:tabs>
              <w:spacing w:line="240" w:lineRule="auto" w:before="1" w:after="0"/>
              <w:ind w:left="467" w:right="224" w:hanging="361"/>
              <w:jc w:val="left"/>
              <w:rPr>
                <w:sz w:val="22"/>
              </w:rPr>
            </w:pPr>
            <w:r>
              <w:rPr>
                <w:sz w:val="22"/>
              </w:rPr>
              <w:t>Demand into the functions comes from two main sources, business as usual activities driven by service desk interactions and regular maintenance and from project activities and requests for technical</w:t>
            </w:r>
            <w:r>
              <w:rPr>
                <w:spacing w:val="-3"/>
                <w:sz w:val="22"/>
              </w:rPr>
              <w:t> </w:t>
            </w:r>
            <w:r>
              <w:rPr>
                <w:sz w:val="22"/>
              </w:rPr>
              <w:t>expertise.</w:t>
            </w:r>
          </w:p>
          <w:p>
            <w:pPr>
              <w:pStyle w:val="TableParagraph"/>
              <w:numPr>
                <w:ilvl w:val="0"/>
                <w:numId w:val="41"/>
              </w:numPr>
              <w:tabs>
                <w:tab w:pos="467" w:val="left" w:leader="none"/>
                <w:tab w:pos="468" w:val="left" w:leader="none"/>
              </w:tabs>
              <w:spacing w:line="240" w:lineRule="auto" w:before="0" w:after="0"/>
              <w:ind w:left="467" w:right="331" w:hanging="361"/>
              <w:jc w:val="left"/>
              <w:rPr>
                <w:sz w:val="22"/>
              </w:rPr>
            </w:pPr>
            <w:r>
              <w:rPr>
                <w:sz w:val="22"/>
              </w:rPr>
              <w:t>It has proven to be easier to recruit people into areas such as service desk and desktop support and so this function is often used as a feeder function into other areas of</w:t>
            </w:r>
            <w:r>
              <w:rPr>
                <w:spacing w:val="-5"/>
                <w:sz w:val="22"/>
              </w:rPr>
              <w:t> </w:t>
            </w:r>
            <w:r>
              <w:rPr>
                <w:sz w:val="22"/>
              </w:rPr>
              <w:t>ICT.</w:t>
            </w:r>
          </w:p>
          <w:p>
            <w:pPr>
              <w:pStyle w:val="TableParagraph"/>
              <w:numPr>
                <w:ilvl w:val="0"/>
                <w:numId w:val="41"/>
              </w:numPr>
              <w:tabs>
                <w:tab w:pos="467" w:val="left" w:leader="none"/>
                <w:tab w:pos="468" w:val="left" w:leader="none"/>
              </w:tabs>
              <w:spacing w:line="240" w:lineRule="auto" w:before="0" w:after="0"/>
              <w:ind w:left="467" w:right="232" w:hanging="361"/>
              <w:jc w:val="left"/>
              <w:rPr>
                <w:sz w:val="22"/>
              </w:rPr>
            </w:pPr>
            <w:r>
              <w:rPr>
                <w:sz w:val="22"/>
              </w:rPr>
              <w:t>Application Services and development have good capable expertise within the team there is a need to further broaden those capabilities to provide enhanced technical</w:t>
            </w:r>
            <w:r>
              <w:rPr>
                <w:spacing w:val="-1"/>
                <w:sz w:val="22"/>
              </w:rPr>
              <w:t> </w:t>
            </w:r>
            <w:r>
              <w:rPr>
                <w:sz w:val="22"/>
              </w:rPr>
              <w:t>resilience.</w:t>
            </w:r>
          </w:p>
          <w:p>
            <w:pPr>
              <w:pStyle w:val="TableParagraph"/>
              <w:numPr>
                <w:ilvl w:val="0"/>
                <w:numId w:val="41"/>
              </w:numPr>
              <w:tabs>
                <w:tab w:pos="467" w:val="left" w:leader="none"/>
                <w:tab w:pos="468" w:val="left" w:leader="none"/>
              </w:tabs>
              <w:spacing w:line="240" w:lineRule="auto" w:before="0" w:after="0"/>
              <w:ind w:left="467" w:right="297" w:hanging="361"/>
              <w:jc w:val="left"/>
              <w:rPr>
                <w:sz w:val="22"/>
              </w:rPr>
            </w:pPr>
            <w:r>
              <w:rPr>
                <w:sz w:val="22"/>
              </w:rPr>
              <w:t>As a three client model there are stresses and strains and different spikes in demand across three clients although integrated technology which has started to be rolled out will support capacity release in the future through</w:t>
            </w:r>
            <w:r>
              <w:rPr>
                <w:spacing w:val="-19"/>
                <w:sz w:val="22"/>
              </w:rPr>
              <w:t> </w:t>
            </w:r>
            <w:r>
              <w:rPr>
                <w:sz w:val="22"/>
              </w:rPr>
              <w:t>more</w:t>
            </w:r>
          </w:p>
          <w:p>
            <w:pPr>
              <w:pStyle w:val="TableParagraph"/>
              <w:spacing w:line="248" w:lineRule="exact"/>
              <w:ind w:left="467"/>
              <w:rPr>
                <w:sz w:val="22"/>
              </w:rPr>
            </w:pPr>
            <w:r>
              <w:rPr>
                <w:sz w:val="22"/>
              </w:rPr>
              <w:t>efficient processes.</w:t>
            </w:r>
          </w:p>
        </w:tc>
      </w:tr>
    </w:tbl>
    <w:p>
      <w:pPr>
        <w:spacing w:after="0" w:line="248" w:lineRule="exac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017" w:hRule="atLeast"/>
        </w:trPr>
        <w:tc>
          <w:tcPr>
            <w:tcW w:w="1697" w:type="dxa"/>
          </w:tcPr>
          <w:p>
            <w:pPr>
              <w:pStyle w:val="TableParagraph"/>
              <w:rPr>
                <w:rFonts w:ascii="Times New Roman"/>
                <w:sz w:val="22"/>
              </w:rPr>
            </w:pPr>
          </w:p>
        </w:tc>
        <w:tc>
          <w:tcPr>
            <w:tcW w:w="7795" w:type="dxa"/>
          </w:tcPr>
          <w:p>
            <w:pPr>
              <w:pStyle w:val="TableParagraph"/>
              <w:numPr>
                <w:ilvl w:val="0"/>
                <w:numId w:val="42"/>
              </w:numPr>
              <w:tabs>
                <w:tab w:pos="467" w:val="left" w:leader="none"/>
                <w:tab w:pos="468" w:val="left" w:leader="none"/>
              </w:tabs>
              <w:spacing w:line="240" w:lineRule="auto" w:before="0" w:after="0"/>
              <w:ind w:left="467" w:right="300" w:hanging="360"/>
              <w:jc w:val="left"/>
              <w:rPr>
                <w:sz w:val="22"/>
              </w:rPr>
            </w:pPr>
            <w:r>
              <w:rPr>
                <w:sz w:val="22"/>
              </w:rPr>
              <w:t>It is anticipated that the changes identified within the ICT environment against the context of the organisation robustly managing both volume and pace of change is sufficient.</w:t>
            </w:r>
          </w:p>
        </w:tc>
      </w:tr>
      <w:tr>
        <w:trPr>
          <w:trHeight w:val="9167" w:hRule="atLeast"/>
        </w:trPr>
        <w:tc>
          <w:tcPr>
            <w:tcW w:w="1697" w:type="dxa"/>
          </w:tcPr>
          <w:p>
            <w:pPr>
              <w:pStyle w:val="TableParagraph"/>
              <w:ind w:left="107" w:right="124"/>
              <w:rPr>
                <w:sz w:val="22"/>
              </w:rPr>
            </w:pPr>
            <w:r>
              <w:rPr>
                <w:sz w:val="22"/>
              </w:rPr>
              <w:t>10b. Knowledge Management</w:t>
            </w:r>
          </w:p>
          <w:p>
            <w:pPr>
              <w:pStyle w:val="TableParagraph"/>
              <w:spacing w:before="11"/>
              <w:rPr>
                <w:sz w:val="21"/>
              </w:rPr>
            </w:pPr>
          </w:p>
          <w:p>
            <w:pPr>
              <w:pStyle w:val="TableParagraph"/>
              <w:ind w:left="256"/>
              <w:rPr>
                <w:sz w:val="20"/>
              </w:rPr>
            </w:pPr>
            <w:r>
              <w:rPr>
                <w:sz w:val="20"/>
              </w:rPr>
              <w:drawing>
                <wp:inline distT="0" distB="0" distL="0" distR="0">
                  <wp:extent cx="683132" cy="683132"/>
                  <wp:effectExtent l="0" t="0" r="0" b="0"/>
                  <wp:docPr id="57" name="image26.png"/>
                  <wp:cNvGraphicFramePr>
                    <a:graphicFrameLocks noChangeAspect="1"/>
                  </wp:cNvGraphicFramePr>
                  <a:graphic>
                    <a:graphicData uri="http://schemas.openxmlformats.org/drawingml/2006/picture">
                      <pic:pic>
                        <pic:nvPicPr>
                          <pic:cNvPr id="58" name="image26.png"/>
                          <pic:cNvPicPr/>
                        </pic:nvPicPr>
                        <pic:blipFill>
                          <a:blip r:embed="rId33" cstate="print"/>
                          <a:stretch>
                            <a:fillRect/>
                          </a:stretch>
                        </pic:blipFill>
                        <pic:spPr>
                          <a:xfrm>
                            <a:off x="0" y="0"/>
                            <a:ext cx="683132" cy="68313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16"/>
              </w:rPr>
            </w:pPr>
          </w:p>
        </w:tc>
        <w:tc>
          <w:tcPr>
            <w:tcW w:w="7795" w:type="dxa"/>
          </w:tcPr>
          <w:p>
            <w:pPr>
              <w:pStyle w:val="TableParagraph"/>
              <w:numPr>
                <w:ilvl w:val="0"/>
                <w:numId w:val="43"/>
              </w:numPr>
              <w:tabs>
                <w:tab w:pos="467" w:val="left" w:leader="none"/>
                <w:tab w:pos="468" w:val="left" w:leader="none"/>
              </w:tabs>
              <w:spacing w:line="240" w:lineRule="auto" w:before="0" w:after="0"/>
              <w:ind w:left="467" w:right="120" w:hanging="360"/>
              <w:jc w:val="left"/>
              <w:rPr>
                <w:sz w:val="22"/>
              </w:rPr>
            </w:pPr>
            <w:r>
              <w:rPr>
                <w:sz w:val="22"/>
              </w:rPr>
              <w:t>Operational Intelligence runs through all aspects of policing and informs key decision making with criticality, threat, risk and harm. The force has experienced an increase in intelligence submissions (which is positive) and anticipates that this will continue due to improved briefings, training and awareness and the introduction of an Intelligence sharing portal for</w:t>
            </w:r>
            <w:r>
              <w:rPr>
                <w:spacing w:val="-7"/>
                <w:sz w:val="22"/>
              </w:rPr>
              <w:t> </w:t>
            </w:r>
            <w:r>
              <w:rPr>
                <w:sz w:val="22"/>
              </w:rPr>
              <w:t>partners.</w:t>
            </w:r>
          </w:p>
          <w:p>
            <w:pPr>
              <w:pStyle w:val="TableParagraph"/>
              <w:numPr>
                <w:ilvl w:val="0"/>
                <w:numId w:val="43"/>
              </w:numPr>
              <w:tabs>
                <w:tab w:pos="467" w:val="left" w:leader="none"/>
                <w:tab w:pos="468" w:val="left" w:leader="none"/>
              </w:tabs>
              <w:spacing w:line="240" w:lineRule="auto" w:before="0" w:after="0"/>
              <w:ind w:left="467" w:right="449" w:hanging="361"/>
              <w:jc w:val="left"/>
              <w:rPr>
                <w:sz w:val="22"/>
              </w:rPr>
            </w:pPr>
            <w:r>
              <w:rPr>
                <w:sz w:val="22"/>
              </w:rPr>
              <w:t>Covert Intelligence demand is directly linked to the crime demand,</w:t>
            </w:r>
            <w:r>
              <w:rPr>
                <w:spacing w:val="-31"/>
                <w:sz w:val="22"/>
              </w:rPr>
              <w:t> </w:t>
            </w:r>
            <w:r>
              <w:rPr>
                <w:sz w:val="22"/>
              </w:rPr>
              <w:t>especially high-risk areas such as organised criminality and the level of response is managed in relation to capacity and capability to</w:t>
            </w:r>
            <w:r>
              <w:rPr>
                <w:spacing w:val="-10"/>
                <w:sz w:val="22"/>
              </w:rPr>
              <w:t> </w:t>
            </w:r>
            <w:r>
              <w:rPr>
                <w:sz w:val="22"/>
              </w:rPr>
              <w:t>deliver.</w:t>
            </w:r>
          </w:p>
          <w:p>
            <w:pPr>
              <w:pStyle w:val="TableParagraph"/>
              <w:numPr>
                <w:ilvl w:val="0"/>
                <w:numId w:val="43"/>
              </w:numPr>
              <w:tabs>
                <w:tab w:pos="467" w:val="left" w:leader="none"/>
                <w:tab w:pos="468" w:val="left" w:leader="none"/>
              </w:tabs>
              <w:spacing w:line="240" w:lineRule="auto" w:before="0" w:after="0"/>
              <w:ind w:left="467" w:right="195" w:hanging="361"/>
              <w:jc w:val="left"/>
              <w:rPr>
                <w:sz w:val="22"/>
              </w:rPr>
            </w:pPr>
            <w:r>
              <w:rPr>
                <w:sz w:val="22"/>
              </w:rPr>
              <w:t>Business Intelligence demand is based on a priority approach underpinning by a commissioning process that supports multiple clients. This results in a blend of products from performance reports, data outputs, information reports or production of service reviews or self-service</w:t>
            </w:r>
            <w:r>
              <w:rPr>
                <w:spacing w:val="-8"/>
                <w:sz w:val="22"/>
              </w:rPr>
              <w:t> </w:t>
            </w:r>
            <w:r>
              <w:rPr>
                <w:sz w:val="22"/>
              </w:rPr>
              <w:t>dashboards.</w:t>
            </w:r>
          </w:p>
          <w:p>
            <w:pPr>
              <w:pStyle w:val="TableParagraph"/>
              <w:numPr>
                <w:ilvl w:val="0"/>
                <w:numId w:val="43"/>
              </w:numPr>
              <w:tabs>
                <w:tab w:pos="467" w:val="left" w:leader="none"/>
                <w:tab w:pos="468" w:val="left" w:leader="none"/>
              </w:tabs>
              <w:spacing w:line="240" w:lineRule="auto" w:before="0" w:after="0"/>
              <w:ind w:left="467" w:right="456" w:hanging="361"/>
              <w:jc w:val="left"/>
              <w:rPr>
                <w:sz w:val="22"/>
              </w:rPr>
            </w:pPr>
            <w:r>
              <w:rPr>
                <w:sz w:val="22"/>
              </w:rPr>
              <w:t>The capacity and capability of business intelligence is not sufficient when considering the increased national appetite for data, opportunities to exploit more sophisticated models for analysis and a paucity of talent in the current marketplace.</w:t>
            </w:r>
          </w:p>
          <w:p>
            <w:pPr>
              <w:pStyle w:val="TableParagraph"/>
              <w:numPr>
                <w:ilvl w:val="0"/>
                <w:numId w:val="43"/>
              </w:numPr>
              <w:tabs>
                <w:tab w:pos="467" w:val="left" w:leader="none"/>
                <w:tab w:pos="468" w:val="left" w:leader="none"/>
              </w:tabs>
              <w:spacing w:line="240" w:lineRule="auto" w:before="0" w:after="0"/>
              <w:ind w:left="467" w:right="208" w:hanging="361"/>
              <w:jc w:val="left"/>
              <w:rPr>
                <w:sz w:val="22"/>
              </w:rPr>
            </w:pPr>
            <w:r>
              <w:rPr>
                <w:sz w:val="22"/>
              </w:rPr>
              <w:t>The capacity within the FIMU to reduce the backlog has been impacted by abstractions however an uplift of FIMU Officers means that once fully staffed the unit should have sufficient capacity and capability to meet current</w:t>
            </w:r>
            <w:r>
              <w:rPr>
                <w:spacing w:val="-24"/>
                <w:sz w:val="22"/>
              </w:rPr>
              <w:t> </w:t>
            </w:r>
            <w:r>
              <w:rPr>
                <w:sz w:val="22"/>
              </w:rPr>
              <w:t>demand.</w:t>
            </w:r>
          </w:p>
          <w:p>
            <w:pPr>
              <w:pStyle w:val="TableParagraph"/>
              <w:numPr>
                <w:ilvl w:val="0"/>
                <w:numId w:val="43"/>
              </w:numPr>
              <w:tabs>
                <w:tab w:pos="468" w:val="left" w:leader="none"/>
              </w:tabs>
              <w:spacing w:line="240" w:lineRule="auto" w:before="0" w:after="0"/>
              <w:ind w:left="467" w:right="629" w:hanging="361"/>
              <w:jc w:val="both"/>
              <w:rPr>
                <w:sz w:val="22"/>
              </w:rPr>
            </w:pPr>
            <w:r>
              <w:rPr>
                <w:sz w:val="22"/>
              </w:rPr>
              <w:t>A TT&amp;CG restructure has been delivered to better align Command to Force TT&amp;CGs and improve accountability for strategic leads / Commanders. This ensures that FTT&amp;CG is the only available mechanism for bidding for Force resources.</w:t>
            </w:r>
          </w:p>
          <w:p>
            <w:pPr>
              <w:pStyle w:val="TableParagraph"/>
              <w:numPr>
                <w:ilvl w:val="0"/>
                <w:numId w:val="43"/>
              </w:numPr>
              <w:tabs>
                <w:tab w:pos="468" w:val="left" w:leader="none"/>
                <w:tab w:pos="469" w:val="left" w:leader="none"/>
              </w:tabs>
              <w:spacing w:line="240" w:lineRule="auto" w:before="0" w:after="0"/>
              <w:ind w:left="468" w:right="317" w:hanging="361"/>
              <w:jc w:val="left"/>
              <w:rPr>
                <w:sz w:val="22"/>
              </w:rPr>
            </w:pPr>
            <w:r>
              <w:rPr>
                <w:sz w:val="22"/>
              </w:rPr>
              <w:t>Capability and tools in operational intelligence need to remain current as technology becomes increasingly complex, and we need to improve our staff’s ability to respond to emerging criminal and technological</w:t>
            </w:r>
            <w:r>
              <w:rPr>
                <w:spacing w:val="-9"/>
                <w:sz w:val="22"/>
              </w:rPr>
              <w:t> </w:t>
            </w:r>
            <w:r>
              <w:rPr>
                <w:sz w:val="22"/>
              </w:rPr>
              <w:t>challenges.</w:t>
            </w:r>
          </w:p>
          <w:p>
            <w:pPr>
              <w:pStyle w:val="TableParagraph"/>
              <w:numPr>
                <w:ilvl w:val="0"/>
                <w:numId w:val="43"/>
              </w:numPr>
              <w:tabs>
                <w:tab w:pos="468" w:val="left" w:leader="none"/>
                <w:tab w:pos="469" w:val="left" w:leader="none"/>
              </w:tabs>
              <w:spacing w:line="240" w:lineRule="auto" w:before="0" w:after="0"/>
              <w:ind w:left="468" w:right="392" w:hanging="361"/>
              <w:jc w:val="left"/>
              <w:rPr>
                <w:sz w:val="22"/>
              </w:rPr>
            </w:pPr>
            <w:r>
              <w:rPr>
                <w:sz w:val="22"/>
              </w:rPr>
              <w:t>Business Intelligence takes a more holistic view of organisation data and information from performance data to automated data modelling. The future delivery of Business intelligence is developing its analytical tool set and visualisation toolkits to inform more effective client</w:t>
            </w:r>
            <w:r>
              <w:rPr>
                <w:spacing w:val="-12"/>
                <w:sz w:val="22"/>
              </w:rPr>
              <w:t> </w:t>
            </w:r>
            <w:r>
              <w:rPr>
                <w:sz w:val="22"/>
              </w:rPr>
              <w:t>tools.</w:t>
            </w:r>
          </w:p>
          <w:p>
            <w:pPr>
              <w:pStyle w:val="TableParagraph"/>
              <w:numPr>
                <w:ilvl w:val="0"/>
                <w:numId w:val="43"/>
              </w:numPr>
              <w:tabs>
                <w:tab w:pos="468" w:val="left" w:leader="none"/>
                <w:tab w:pos="469" w:val="left" w:leader="none"/>
              </w:tabs>
              <w:spacing w:line="240" w:lineRule="auto" w:before="0" w:after="0"/>
              <w:ind w:left="468" w:right="260" w:hanging="361"/>
              <w:jc w:val="left"/>
              <w:rPr>
                <w:sz w:val="22"/>
              </w:rPr>
            </w:pPr>
            <w:r>
              <w:rPr>
                <w:sz w:val="22"/>
              </w:rPr>
              <w:t>There is a need within the current organisational envelope to drive data ethics, data culture and data literacy to ensure the organisation can best exploit the value of data led decision</w:t>
            </w:r>
            <w:r>
              <w:rPr>
                <w:spacing w:val="-9"/>
                <w:sz w:val="22"/>
              </w:rPr>
              <w:t> </w:t>
            </w:r>
            <w:r>
              <w:rPr>
                <w:sz w:val="22"/>
              </w:rPr>
              <w:t>making.</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0" w:hRule="atLeast"/>
        </w:trPr>
        <w:tc>
          <w:tcPr>
            <w:tcW w:w="9492" w:type="dxa"/>
            <w:gridSpan w:val="2"/>
            <w:shd w:val="clear" w:color="auto" w:fill="F8AB04"/>
          </w:tcPr>
          <w:p>
            <w:pPr>
              <w:pStyle w:val="TableParagraph"/>
              <w:spacing w:line="320" w:lineRule="exact"/>
              <w:ind w:left="107"/>
              <w:rPr>
                <w:b/>
                <w:sz w:val="28"/>
              </w:rPr>
            </w:pPr>
            <w:r>
              <w:rPr>
                <w:b/>
                <w:sz w:val="28"/>
              </w:rPr>
              <w:t>Chapter 11: Force wide Functions</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2990" w:hRule="atLeast"/>
        </w:trPr>
        <w:tc>
          <w:tcPr>
            <w:tcW w:w="1697" w:type="dxa"/>
          </w:tcPr>
          <w:p>
            <w:pPr>
              <w:pStyle w:val="TableParagraph"/>
              <w:spacing w:line="268" w:lineRule="exact"/>
              <w:ind w:left="107"/>
              <w:rPr>
                <w:sz w:val="22"/>
              </w:rPr>
            </w:pPr>
            <w:r>
              <w:rPr>
                <w:sz w:val="22"/>
              </w:rPr>
              <w:t>11a.</w:t>
            </w:r>
          </w:p>
          <w:p>
            <w:pPr>
              <w:pStyle w:val="TableParagraph"/>
              <w:ind w:left="107" w:right="466"/>
              <w:rPr>
                <w:sz w:val="22"/>
              </w:rPr>
            </w:pPr>
            <w:r>
              <w:rPr>
                <w:sz w:val="22"/>
              </w:rPr>
              <w:t>Professional Standards</w:t>
            </w:r>
          </w:p>
          <w:p>
            <w:pPr>
              <w:pStyle w:val="TableParagraph"/>
              <w:spacing w:before="1" w:after="1"/>
              <w:rPr>
                <w:sz w:val="22"/>
              </w:rPr>
            </w:pPr>
          </w:p>
          <w:p>
            <w:pPr>
              <w:pStyle w:val="TableParagraph"/>
              <w:ind w:left="256"/>
              <w:rPr>
                <w:sz w:val="20"/>
              </w:rPr>
            </w:pPr>
            <w:r>
              <w:rPr>
                <w:sz w:val="20"/>
              </w:rPr>
              <w:drawing>
                <wp:inline distT="0" distB="0" distL="0" distR="0">
                  <wp:extent cx="678941" cy="678942"/>
                  <wp:effectExtent l="0" t="0" r="0" b="0"/>
                  <wp:docPr id="59" name="image27.png"/>
                  <wp:cNvGraphicFramePr>
                    <a:graphicFrameLocks noChangeAspect="1"/>
                  </wp:cNvGraphicFramePr>
                  <a:graphic>
                    <a:graphicData uri="http://schemas.openxmlformats.org/drawingml/2006/picture">
                      <pic:pic>
                        <pic:nvPicPr>
                          <pic:cNvPr id="60" name="image27.png"/>
                          <pic:cNvPicPr/>
                        </pic:nvPicPr>
                        <pic:blipFill>
                          <a:blip r:embed="rId34" cstate="print"/>
                          <a:stretch>
                            <a:fillRect/>
                          </a:stretch>
                        </pic:blipFill>
                        <pic:spPr>
                          <a:xfrm>
                            <a:off x="0" y="0"/>
                            <a:ext cx="678941"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spacing w:before="2"/>
              <w:rPr>
                <w:sz w:val="29"/>
              </w:rPr>
            </w:pPr>
          </w:p>
        </w:tc>
        <w:tc>
          <w:tcPr>
            <w:tcW w:w="7795" w:type="dxa"/>
          </w:tcPr>
          <w:p>
            <w:pPr>
              <w:pStyle w:val="TableParagraph"/>
              <w:numPr>
                <w:ilvl w:val="0"/>
                <w:numId w:val="44"/>
              </w:numPr>
              <w:tabs>
                <w:tab w:pos="467" w:val="left" w:leader="none"/>
                <w:tab w:pos="468" w:val="left" w:leader="none"/>
              </w:tabs>
              <w:spacing w:line="240" w:lineRule="auto" w:before="0" w:after="0"/>
              <w:ind w:left="467" w:right="119" w:hanging="360"/>
              <w:jc w:val="left"/>
              <w:rPr>
                <w:sz w:val="22"/>
              </w:rPr>
            </w:pPr>
            <w:r>
              <w:rPr>
                <w:sz w:val="22"/>
              </w:rPr>
              <w:t>The Professional Standards Department (PSD) is a critical function to ensure that the standards, behaviours and values of our own workforce are</w:t>
            </w:r>
            <w:r>
              <w:rPr>
                <w:spacing w:val="-16"/>
                <w:sz w:val="22"/>
              </w:rPr>
              <w:t> </w:t>
            </w:r>
            <w:r>
              <w:rPr>
                <w:sz w:val="22"/>
              </w:rPr>
              <w:t>upheld.</w:t>
            </w:r>
          </w:p>
          <w:p>
            <w:pPr>
              <w:pStyle w:val="TableParagraph"/>
              <w:numPr>
                <w:ilvl w:val="0"/>
                <w:numId w:val="44"/>
              </w:numPr>
              <w:tabs>
                <w:tab w:pos="467" w:val="left" w:leader="none"/>
                <w:tab w:pos="468" w:val="left" w:leader="none"/>
              </w:tabs>
              <w:spacing w:line="240" w:lineRule="auto" w:before="0" w:after="0"/>
              <w:ind w:left="467" w:right="304" w:hanging="361"/>
              <w:jc w:val="left"/>
              <w:rPr>
                <w:sz w:val="22"/>
              </w:rPr>
            </w:pPr>
            <w:r>
              <w:rPr>
                <w:sz w:val="22"/>
              </w:rPr>
              <w:t>In the past 12 months there have been a number of national reports bringing associated recommendations that have impacted and increased scrutiny on all forces. To make the required improvement these reports recommend has and will continue to increase the demand upon the PSD</w:t>
            </w:r>
            <w:r>
              <w:rPr>
                <w:spacing w:val="-6"/>
                <w:sz w:val="22"/>
              </w:rPr>
              <w:t> </w:t>
            </w:r>
            <w:r>
              <w:rPr>
                <w:sz w:val="22"/>
              </w:rPr>
              <w:t>function.</w:t>
            </w:r>
          </w:p>
          <w:p>
            <w:pPr>
              <w:pStyle w:val="TableParagraph"/>
              <w:numPr>
                <w:ilvl w:val="0"/>
                <w:numId w:val="44"/>
              </w:numPr>
              <w:tabs>
                <w:tab w:pos="467" w:val="left" w:leader="none"/>
                <w:tab w:pos="468" w:val="left" w:leader="none"/>
              </w:tabs>
              <w:spacing w:line="240" w:lineRule="auto" w:before="0" w:after="0"/>
              <w:ind w:left="467" w:right="245" w:hanging="361"/>
              <w:jc w:val="left"/>
              <w:rPr>
                <w:sz w:val="22"/>
              </w:rPr>
            </w:pPr>
            <w:r>
              <w:rPr>
                <w:sz w:val="22"/>
              </w:rPr>
              <w:t>The increase in the number of officers due to uplift and the ground swell of national issues indicates that there is a strong likelihood that demand from investigations will continue to increase. The volume of cases alone does not provide the full picture of the true demand upon the team as the complexity</w:t>
            </w:r>
            <w:r>
              <w:rPr>
                <w:spacing w:val="-27"/>
                <w:sz w:val="22"/>
              </w:rPr>
              <w:t> </w:t>
            </w:r>
            <w:r>
              <w:rPr>
                <w:sz w:val="22"/>
              </w:rPr>
              <w:t>of</w:t>
            </w:r>
          </w:p>
          <w:p>
            <w:pPr>
              <w:pStyle w:val="TableParagraph"/>
              <w:spacing w:line="249" w:lineRule="exact"/>
              <w:ind w:left="467"/>
              <w:rPr>
                <w:sz w:val="22"/>
              </w:rPr>
            </w:pPr>
            <w:r>
              <w:rPr>
                <w:sz w:val="22"/>
              </w:rPr>
              <w:t>cases has also increased.</w:t>
            </w:r>
          </w:p>
        </w:tc>
      </w:tr>
    </w:tbl>
    <w:p>
      <w:pPr>
        <w:spacing w:after="0" w:line="249" w:lineRule="exac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5627" w:hRule="atLeast"/>
        </w:trPr>
        <w:tc>
          <w:tcPr>
            <w:tcW w:w="1697" w:type="dxa"/>
          </w:tcPr>
          <w:p>
            <w:pPr>
              <w:pStyle w:val="TableParagraph"/>
              <w:rPr>
                <w:rFonts w:ascii="Times New Roman"/>
                <w:sz w:val="22"/>
              </w:rPr>
            </w:pPr>
          </w:p>
        </w:tc>
        <w:tc>
          <w:tcPr>
            <w:tcW w:w="7795" w:type="dxa"/>
          </w:tcPr>
          <w:p>
            <w:pPr>
              <w:pStyle w:val="TableParagraph"/>
              <w:numPr>
                <w:ilvl w:val="0"/>
                <w:numId w:val="45"/>
              </w:numPr>
              <w:tabs>
                <w:tab w:pos="467" w:val="left" w:leader="none"/>
                <w:tab w:pos="468" w:val="left" w:leader="none"/>
              </w:tabs>
              <w:spacing w:line="240" w:lineRule="auto" w:before="0" w:after="0"/>
              <w:ind w:left="467" w:right="127" w:hanging="360"/>
              <w:jc w:val="left"/>
              <w:rPr>
                <w:sz w:val="22"/>
              </w:rPr>
            </w:pPr>
            <w:r>
              <w:rPr>
                <w:sz w:val="22"/>
              </w:rPr>
              <w:t>Vetting demand has increased by circa 20% year on year since 2016/17 and whilst the unit are achieving their targets for priority recruitment campaigns</w:t>
            </w:r>
            <w:r>
              <w:rPr>
                <w:spacing w:val="-36"/>
                <w:sz w:val="22"/>
              </w:rPr>
              <w:t> </w:t>
            </w:r>
            <w:r>
              <w:rPr>
                <w:sz w:val="22"/>
              </w:rPr>
              <w:t>this has impacted upon other requirements which has led to a backlog of circa 1000 reviews /</w:t>
            </w:r>
            <w:r>
              <w:rPr>
                <w:spacing w:val="-2"/>
                <w:sz w:val="22"/>
              </w:rPr>
              <w:t> </w:t>
            </w:r>
            <w:r>
              <w:rPr>
                <w:sz w:val="22"/>
              </w:rPr>
              <w:t>applications.</w:t>
            </w:r>
          </w:p>
          <w:p>
            <w:pPr>
              <w:pStyle w:val="TableParagraph"/>
              <w:numPr>
                <w:ilvl w:val="0"/>
                <w:numId w:val="45"/>
              </w:numPr>
              <w:tabs>
                <w:tab w:pos="467" w:val="left" w:leader="none"/>
                <w:tab w:pos="468" w:val="left" w:leader="none"/>
              </w:tabs>
              <w:spacing w:line="240" w:lineRule="auto" w:before="0" w:after="0"/>
              <w:ind w:left="467" w:right="149" w:hanging="361"/>
              <w:jc w:val="left"/>
              <w:rPr>
                <w:sz w:val="22"/>
              </w:rPr>
            </w:pPr>
            <w:r>
              <w:rPr>
                <w:sz w:val="22"/>
              </w:rPr>
              <w:t>For ACU, high profile national cases have placed a greater focus on the activities of the ACU and the HMICFRS and the NPCC are expecting forces to increase proactivity. There has also been an increase in internal and external reporting of misconduct and corruption issues and ACU is now processing almost 90% more intelligence than it was in</w:t>
            </w:r>
            <w:r>
              <w:rPr>
                <w:spacing w:val="-9"/>
                <w:sz w:val="22"/>
              </w:rPr>
              <w:t> </w:t>
            </w:r>
            <w:r>
              <w:rPr>
                <w:sz w:val="22"/>
              </w:rPr>
              <w:t>2016.</w:t>
            </w:r>
          </w:p>
          <w:p>
            <w:pPr>
              <w:pStyle w:val="TableParagraph"/>
              <w:numPr>
                <w:ilvl w:val="0"/>
                <w:numId w:val="45"/>
              </w:numPr>
              <w:tabs>
                <w:tab w:pos="467" w:val="left" w:leader="none"/>
                <w:tab w:pos="468" w:val="left" w:leader="none"/>
              </w:tabs>
              <w:spacing w:line="240" w:lineRule="auto" w:before="0" w:after="0"/>
              <w:ind w:left="467" w:right="235" w:hanging="361"/>
              <w:jc w:val="left"/>
              <w:rPr>
                <w:sz w:val="22"/>
              </w:rPr>
            </w:pPr>
            <w:r>
              <w:rPr>
                <w:sz w:val="22"/>
              </w:rPr>
              <w:t>There is insufficient capacity across all PSD team to respond to current demand and this has been captured on the force’s risk</w:t>
            </w:r>
            <w:r>
              <w:rPr>
                <w:spacing w:val="-13"/>
                <w:sz w:val="22"/>
              </w:rPr>
              <w:t> </w:t>
            </w:r>
            <w:r>
              <w:rPr>
                <w:sz w:val="22"/>
              </w:rPr>
              <w:t>register.</w:t>
            </w:r>
          </w:p>
          <w:p>
            <w:pPr>
              <w:pStyle w:val="TableParagraph"/>
              <w:numPr>
                <w:ilvl w:val="0"/>
                <w:numId w:val="45"/>
              </w:numPr>
              <w:tabs>
                <w:tab w:pos="467" w:val="left" w:leader="none"/>
                <w:tab w:pos="468" w:val="left" w:leader="none"/>
              </w:tabs>
              <w:spacing w:line="240" w:lineRule="auto" w:before="0" w:after="0"/>
              <w:ind w:left="467" w:right="227" w:hanging="361"/>
              <w:jc w:val="left"/>
              <w:rPr>
                <w:sz w:val="22"/>
              </w:rPr>
            </w:pPr>
            <w:r>
              <w:rPr>
                <w:sz w:val="22"/>
              </w:rPr>
              <w:t>The Head of PSD submitted a demand and resourcing report to the COT in February 2023. This provided an assessment of the resources required for the department to effectively respond to both the increases in demand brought about by uplift and process change but to also respond to the requirements set out in the national reports. An uplift in a number of roles across all three teams has been approved for implementation in</w:t>
            </w:r>
            <w:r>
              <w:rPr>
                <w:spacing w:val="-10"/>
                <w:sz w:val="22"/>
              </w:rPr>
              <w:t> </w:t>
            </w:r>
            <w:r>
              <w:rPr>
                <w:sz w:val="22"/>
              </w:rPr>
              <w:t>2023/24.</w:t>
            </w:r>
          </w:p>
          <w:p>
            <w:pPr>
              <w:pStyle w:val="TableParagraph"/>
              <w:numPr>
                <w:ilvl w:val="0"/>
                <w:numId w:val="45"/>
              </w:numPr>
              <w:tabs>
                <w:tab w:pos="468" w:val="left" w:leader="none"/>
                <w:tab w:pos="469" w:val="left" w:leader="none"/>
              </w:tabs>
              <w:spacing w:line="240" w:lineRule="auto" w:before="0" w:after="0"/>
              <w:ind w:left="468" w:right="325" w:hanging="361"/>
              <w:jc w:val="left"/>
              <w:rPr>
                <w:sz w:val="22"/>
              </w:rPr>
            </w:pPr>
            <w:r>
              <w:rPr>
                <w:sz w:val="22"/>
              </w:rPr>
              <w:t>Any residual demand, following the uplift, would not generate any anticipated harm to the public or organisation as individuals would still be vetted and misconduct matters</w:t>
            </w:r>
            <w:r>
              <w:rPr>
                <w:spacing w:val="-3"/>
                <w:sz w:val="22"/>
              </w:rPr>
              <w:t> </w:t>
            </w:r>
            <w:r>
              <w:rPr>
                <w:sz w:val="22"/>
              </w:rPr>
              <w:t>investigated.</w:t>
            </w:r>
          </w:p>
        </w:tc>
      </w:tr>
      <w:tr>
        <w:trPr>
          <w:trHeight w:val="8058" w:hRule="atLeast"/>
        </w:trPr>
        <w:tc>
          <w:tcPr>
            <w:tcW w:w="1697" w:type="dxa"/>
          </w:tcPr>
          <w:p>
            <w:pPr>
              <w:pStyle w:val="TableParagraph"/>
              <w:spacing w:line="268" w:lineRule="exact"/>
              <w:ind w:left="107"/>
              <w:rPr>
                <w:sz w:val="22"/>
              </w:rPr>
            </w:pPr>
            <w:r>
              <w:rPr>
                <w:sz w:val="22"/>
              </w:rPr>
              <w:t>11b. Assets</w:t>
            </w:r>
          </w:p>
          <w:p>
            <w:pPr>
              <w:pStyle w:val="TableParagraph"/>
              <w:spacing w:before="1" w:after="1"/>
              <w:rPr>
                <w:sz w:val="22"/>
              </w:rPr>
            </w:pPr>
          </w:p>
          <w:p>
            <w:pPr>
              <w:pStyle w:val="TableParagraph"/>
              <w:ind w:left="256"/>
              <w:rPr>
                <w:sz w:val="20"/>
              </w:rPr>
            </w:pPr>
            <w:r>
              <w:rPr>
                <w:sz w:val="20"/>
              </w:rPr>
              <w:drawing>
                <wp:inline distT="0" distB="0" distL="0" distR="0">
                  <wp:extent cx="678951" cy="678941"/>
                  <wp:effectExtent l="0" t="0" r="0" b="0"/>
                  <wp:docPr id="61" name="image27.png"/>
                  <wp:cNvGraphicFramePr>
                    <a:graphicFrameLocks noChangeAspect="1"/>
                  </wp:cNvGraphicFramePr>
                  <a:graphic>
                    <a:graphicData uri="http://schemas.openxmlformats.org/drawingml/2006/picture">
                      <pic:pic>
                        <pic:nvPicPr>
                          <pic:cNvPr id="62" name="image27.png"/>
                          <pic:cNvPicPr/>
                        </pic:nvPicPr>
                        <pic:blipFill>
                          <a:blip r:embed="rId34" cstate="print"/>
                          <a:stretch>
                            <a:fillRect/>
                          </a:stretch>
                        </pic:blipFill>
                        <pic:spPr>
                          <a:xfrm>
                            <a:off x="0" y="0"/>
                            <a:ext cx="678951" cy="67894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28"/>
              </w:rPr>
            </w:pPr>
          </w:p>
        </w:tc>
        <w:tc>
          <w:tcPr>
            <w:tcW w:w="7795" w:type="dxa"/>
          </w:tcPr>
          <w:p>
            <w:pPr>
              <w:pStyle w:val="TableParagraph"/>
              <w:numPr>
                <w:ilvl w:val="0"/>
                <w:numId w:val="46"/>
              </w:numPr>
              <w:tabs>
                <w:tab w:pos="467" w:val="left" w:leader="none"/>
                <w:tab w:pos="468" w:val="left" w:leader="none"/>
              </w:tabs>
              <w:spacing w:line="240" w:lineRule="auto" w:before="0" w:after="0"/>
              <w:ind w:left="467" w:right="372" w:hanging="360"/>
              <w:jc w:val="left"/>
              <w:rPr>
                <w:sz w:val="22"/>
              </w:rPr>
            </w:pPr>
            <w:r>
              <w:rPr>
                <w:sz w:val="22"/>
              </w:rPr>
              <w:t>The Assets function utilises a capacity led demand model to meet short term demand. This is combined with a very significant programme of planned</w:t>
            </w:r>
            <w:r>
              <w:rPr>
                <w:spacing w:val="-25"/>
                <w:sz w:val="22"/>
              </w:rPr>
              <w:t> </w:t>
            </w:r>
            <w:r>
              <w:rPr>
                <w:sz w:val="22"/>
              </w:rPr>
              <w:t>work</w:t>
            </w:r>
          </w:p>
          <w:p>
            <w:pPr>
              <w:pStyle w:val="TableParagraph"/>
              <w:ind w:left="467" w:right="813"/>
              <w:rPr>
                <w:sz w:val="22"/>
              </w:rPr>
            </w:pPr>
            <w:r>
              <w:rPr>
                <w:sz w:val="22"/>
              </w:rPr>
              <w:t>e.g. scheduled maintenance of estate, equipment and fleet and strategic planning for longer term requirements.</w:t>
            </w:r>
          </w:p>
          <w:p>
            <w:pPr>
              <w:pStyle w:val="TableParagraph"/>
              <w:numPr>
                <w:ilvl w:val="0"/>
                <w:numId w:val="47"/>
              </w:numPr>
              <w:tabs>
                <w:tab w:pos="467" w:val="left" w:leader="none"/>
                <w:tab w:pos="468" w:val="left" w:leader="none"/>
              </w:tabs>
              <w:spacing w:line="240" w:lineRule="auto" w:before="0" w:after="0"/>
              <w:ind w:left="467" w:right="126" w:hanging="360"/>
              <w:jc w:val="left"/>
              <w:rPr>
                <w:sz w:val="22"/>
              </w:rPr>
            </w:pPr>
            <w:r>
              <w:rPr>
                <w:sz w:val="22"/>
              </w:rPr>
              <w:t>NYP has five-year capital plan combined with the Joint Strategic Asset Management Plan (estates Strategy), and a fleet strategy. The five-year capital plan is the agreed delivery plan for major projects other than those which fall into the organisations Change Pipeline. The strategies are linked to the police and crime plan. The estates strategy is due for refresh in 2023. The Assets Function also owns the organisations’ sustainability strategy, also due for review in</w:t>
            </w:r>
            <w:r>
              <w:rPr>
                <w:spacing w:val="-2"/>
                <w:sz w:val="22"/>
              </w:rPr>
              <w:t> </w:t>
            </w:r>
            <w:r>
              <w:rPr>
                <w:sz w:val="22"/>
              </w:rPr>
              <w:t>2023/24.</w:t>
            </w:r>
          </w:p>
          <w:p>
            <w:pPr>
              <w:pStyle w:val="TableParagraph"/>
              <w:numPr>
                <w:ilvl w:val="0"/>
                <w:numId w:val="47"/>
              </w:numPr>
              <w:tabs>
                <w:tab w:pos="467" w:val="left" w:leader="none"/>
                <w:tab w:pos="468" w:val="left" w:leader="none"/>
              </w:tabs>
              <w:spacing w:line="240" w:lineRule="auto" w:before="0" w:after="0"/>
              <w:ind w:left="467" w:right="246" w:hanging="361"/>
              <w:jc w:val="left"/>
              <w:rPr>
                <w:sz w:val="22"/>
              </w:rPr>
            </w:pPr>
            <w:r>
              <w:rPr>
                <w:sz w:val="22"/>
              </w:rPr>
              <w:t>There is sufficient capacity and capability across the estates, fleet and logistics teams to meet expected levels of demand for business-as-usual work, however project demand is often difficult to</w:t>
            </w:r>
            <w:r>
              <w:rPr>
                <w:spacing w:val="-5"/>
                <w:sz w:val="22"/>
              </w:rPr>
              <w:t> </w:t>
            </w:r>
            <w:r>
              <w:rPr>
                <w:sz w:val="22"/>
              </w:rPr>
              <w:t>manage.</w:t>
            </w:r>
          </w:p>
          <w:p>
            <w:pPr>
              <w:pStyle w:val="TableParagraph"/>
              <w:numPr>
                <w:ilvl w:val="0"/>
                <w:numId w:val="47"/>
              </w:numPr>
              <w:tabs>
                <w:tab w:pos="467" w:val="left" w:leader="none"/>
                <w:tab w:pos="468" w:val="left" w:leader="none"/>
              </w:tabs>
              <w:spacing w:line="240" w:lineRule="auto" w:before="0" w:after="0"/>
              <w:ind w:left="467" w:right="165" w:hanging="361"/>
              <w:jc w:val="left"/>
              <w:rPr>
                <w:sz w:val="22"/>
              </w:rPr>
            </w:pPr>
            <w:r>
              <w:rPr>
                <w:sz w:val="22"/>
              </w:rPr>
              <w:t>Supply chains have been seriously impacted during and following the pandemic. There are signs that some areas are improving, but costs and availability of supplies and services remain a challenge for the Force. Risks in this area are mitigated through effective planning of change at an organisational level linked to governance</w:t>
            </w:r>
            <w:r>
              <w:rPr>
                <w:spacing w:val="-2"/>
                <w:sz w:val="22"/>
              </w:rPr>
              <w:t> </w:t>
            </w:r>
            <w:r>
              <w:rPr>
                <w:sz w:val="22"/>
              </w:rPr>
              <w:t>structures.</w:t>
            </w:r>
          </w:p>
          <w:p>
            <w:pPr>
              <w:pStyle w:val="TableParagraph"/>
              <w:numPr>
                <w:ilvl w:val="0"/>
                <w:numId w:val="47"/>
              </w:numPr>
              <w:tabs>
                <w:tab w:pos="467" w:val="left" w:leader="none"/>
                <w:tab w:pos="468" w:val="left" w:leader="none"/>
              </w:tabs>
              <w:spacing w:line="240" w:lineRule="auto" w:before="0" w:after="0"/>
              <w:ind w:left="467" w:right="185" w:hanging="361"/>
              <w:jc w:val="left"/>
              <w:rPr>
                <w:sz w:val="22"/>
              </w:rPr>
            </w:pPr>
            <w:r>
              <w:rPr>
                <w:sz w:val="22"/>
              </w:rPr>
              <w:t>Assets is planning to develop ways of enriching the data it has available through improving our utilisation and exploitation of existing systems and introducing more effective asset monitoring. By linking information with financial and operational planning, better demand management should be achieved. In 2023 a new fleet tracking system will be introduced and we are reporting performance across the Function to drive</w:t>
            </w:r>
            <w:r>
              <w:rPr>
                <w:spacing w:val="-3"/>
                <w:sz w:val="22"/>
              </w:rPr>
              <w:t> </w:t>
            </w:r>
            <w:r>
              <w:rPr>
                <w:sz w:val="22"/>
              </w:rPr>
              <w:t>improvement.</w:t>
            </w:r>
          </w:p>
          <w:p>
            <w:pPr>
              <w:pStyle w:val="TableParagraph"/>
              <w:numPr>
                <w:ilvl w:val="0"/>
                <w:numId w:val="47"/>
              </w:numPr>
              <w:tabs>
                <w:tab w:pos="467" w:val="left" w:leader="none"/>
                <w:tab w:pos="468" w:val="left" w:leader="none"/>
              </w:tabs>
              <w:spacing w:line="240" w:lineRule="auto" w:before="0" w:after="0"/>
              <w:ind w:left="467" w:right="126" w:hanging="361"/>
              <w:jc w:val="left"/>
              <w:rPr>
                <w:sz w:val="22"/>
              </w:rPr>
            </w:pPr>
            <w:r>
              <w:rPr>
                <w:sz w:val="22"/>
              </w:rPr>
              <w:t>Assets performance is measured against an agreed Service Catalogue and monitoring of this is being introduced across enableNY in 2023. This will dovetail in the performance management framework of the organisation. A reshaping of the fleet department is proposed for</w:t>
            </w:r>
            <w:r>
              <w:rPr>
                <w:spacing w:val="-2"/>
                <w:sz w:val="22"/>
              </w:rPr>
              <w:t> </w:t>
            </w:r>
            <w:r>
              <w:rPr>
                <w:sz w:val="22"/>
              </w:rPr>
              <w:t>2023.</w:t>
            </w:r>
          </w:p>
        </w:tc>
      </w:tr>
      <w:tr>
        <w:trPr>
          <w:trHeight w:val="818" w:hRule="atLeast"/>
        </w:trPr>
        <w:tc>
          <w:tcPr>
            <w:tcW w:w="1697" w:type="dxa"/>
          </w:tcPr>
          <w:p>
            <w:pPr>
              <w:pStyle w:val="TableParagraph"/>
              <w:ind w:left="107" w:right="524"/>
              <w:rPr>
                <w:sz w:val="22"/>
              </w:rPr>
            </w:pPr>
            <w:r>
              <w:rPr>
                <w:sz w:val="22"/>
              </w:rPr>
              <w:t>11c. People Services</w:t>
            </w:r>
          </w:p>
        </w:tc>
        <w:tc>
          <w:tcPr>
            <w:tcW w:w="7795" w:type="dxa"/>
          </w:tcPr>
          <w:p>
            <w:pPr>
              <w:pStyle w:val="TableParagraph"/>
              <w:numPr>
                <w:ilvl w:val="0"/>
                <w:numId w:val="48"/>
              </w:numPr>
              <w:tabs>
                <w:tab w:pos="467" w:val="left" w:leader="none"/>
                <w:tab w:pos="468" w:val="left" w:leader="none"/>
              </w:tabs>
              <w:spacing w:line="268" w:lineRule="exact" w:before="6" w:after="0"/>
              <w:ind w:left="467" w:right="173" w:hanging="360"/>
              <w:jc w:val="left"/>
              <w:rPr>
                <w:sz w:val="22"/>
              </w:rPr>
            </w:pPr>
            <w:r>
              <w:rPr>
                <w:sz w:val="22"/>
              </w:rPr>
              <w:t>The four areas of the People Services function use a capacity led demand model which differ in terms of demand with the level of reactive and proactive requirements across the</w:t>
            </w:r>
            <w:r>
              <w:rPr>
                <w:spacing w:val="-5"/>
                <w:sz w:val="22"/>
              </w:rPr>
              <w:t> </w:t>
            </w:r>
            <w:r>
              <w:rPr>
                <w:sz w:val="22"/>
              </w:rPr>
              <w:t>teams.</w:t>
            </w:r>
          </w:p>
        </w:tc>
      </w:tr>
    </w:tbl>
    <w:p>
      <w:pPr>
        <w:spacing w:after="0" w:line="268" w:lineRule="exac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6189" w:hRule="atLeast"/>
        </w:trPr>
        <w:tc>
          <w:tcPr>
            <w:tcW w:w="1697" w:type="dxa"/>
          </w:tcPr>
          <w:p>
            <w:pPr>
              <w:pStyle w:val="TableParagraph"/>
              <w:ind w:left="256"/>
              <w:rPr>
                <w:sz w:val="20"/>
              </w:rPr>
            </w:pPr>
            <w:r>
              <w:rPr>
                <w:sz w:val="20"/>
              </w:rPr>
              <w:drawing>
                <wp:inline distT="0" distB="0" distL="0" distR="0">
                  <wp:extent cx="679448" cy="678942"/>
                  <wp:effectExtent l="0" t="0" r="0" b="0"/>
                  <wp:docPr id="63" name="image27.png"/>
                  <wp:cNvGraphicFramePr>
                    <a:graphicFrameLocks noChangeAspect="1"/>
                  </wp:cNvGraphicFramePr>
                  <a:graphic>
                    <a:graphicData uri="http://schemas.openxmlformats.org/drawingml/2006/picture">
                      <pic:pic>
                        <pic:nvPicPr>
                          <pic:cNvPr id="64" name="image27.png"/>
                          <pic:cNvPicPr/>
                        </pic:nvPicPr>
                        <pic:blipFill>
                          <a:blip r:embed="rId34" cstate="print"/>
                          <a:stretch>
                            <a:fillRect/>
                          </a:stretch>
                        </pic:blipFill>
                        <pic:spPr>
                          <a:xfrm>
                            <a:off x="0" y="0"/>
                            <a:ext cx="679448" cy="678942"/>
                          </a:xfrm>
                          <a:prstGeom prst="rect">
                            <a:avLst/>
                          </a:prstGeom>
                        </pic:spPr>
                      </pic:pic>
                    </a:graphicData>
                  </a:graphic>
                </wp:inline>
              </w:drawing>
            </w:r>
            <w:r>
              <w:rPr>
                <w:sz w:val="20"/>
              </w:rPr>
            </w:r>
          </w:p>
        </w:tc>
        <w:tc>
          <w:tcPr>
            <w:tcW w:w="7795" w:type="dxa"/>
          </w:tcPr>
          <w:p>
            <w:pPr>
              <w:pStyle w:val="TableParagraph"/>
              <w:numPr>
                <w:ilvl w:val="0"/>
                <w:numId w:val="49"/>
              </w:numPr>
              <w:tabs>
                <w:tab w:pos="467" w:val="left" w:leader="none"/>
                <w:tab w:pos="468" w:val="left" w:leader="none"/>
              </w:tabs>
              <w:spacing w:line="240" w:lineRule="auto" w:before="0" w:after="0"/>
              <w:ind w:left="467" w:right="137" w:hanging="360"/>
              <w:jc w:val="left"/>
              <w:rPr>
                <w:sz w:val="22"/>
              </w:rPr>
            </w:pPr>
            <w:r>
              <w:rPr>
                <w:sz w:val="22"/>
              </w:rPr>
              <w:t>The HMICFRS VfM profiles for 2021/22 identified a police officer attrition rate of 7.5% and police staff attrition rate 15.4%, for police staff this is significantly higher than in 2020/21 (6.5%) and places NYP 6th in the</w:t>
            </w:r>
            <w:r>
              <w:rPr>
                <w:spacing w:val="-12"/>
                <w:sz w:val="22"/>
              </w:rPr>
              <w:t> </w:t>
            </w:r>
            <w:r>
              <w:rPr>
                <w:sz w:val="22"/>
              </w:rPr>
              <w:t>country.</w:t>
            </w:r>
          </w:p>
          <w:p>
            <w:pPr>
              <w:pStyle w:val="TableParagraph"/>
              <w:numPr>
                <w:ilvl w:val="0"/>
                <w:numId w:val="49"/>
              </w:numPr>
              <w:tabs>
                <w:tab w:pos="468" w:val="left" w:leader="none"/>
              </w:tabs>
              <w:spacing w:line="240" w:lineRule="auto" w:before="0" w:after="0"/>
              <w:ind w:left="467" w:right="238" w:hanging="361"/>
              <w:jc w:val="both"/>
              <w:rPr>
                <w:sz w:val="22"/>
              </w:rPr>
            </w:pPr>
            <w:r>
              <w:rPr>
                <w:sz w:val="22"/>
              </w:rPr>
              <w:t>The workforce plan data indicates (at February 2023) 41.16% of police staff are over 50 years of age which has implications for managing an older workforce in terms of health and</w:t>
            </w:r>
            <w:r>
              <w:rPr>
                <w:spacing w:val="-7"/>
                <w:sz w:val="22"/>
              </w:rPr>
              <w:t> </w:t>
            </w:r>
            <w:r>
              <w:rPr>
                <w:sz w:val="22"/>
              </w:rPr>
              <w:t>wellbeing.</w:t>
            </w:r>
          </w:p>
          <w:p>
            <w:pPr>
              <w:pStyle w:val="TableParagraph"/>
              <w:numPr>
                <w:ilvl w:val="0"/>
                <w:numId w:val="49"/>
              </w:numPr>
              <w:tabs>
                <w:tab w:pos="467" w:val="left" w:leader="none"/>
                <w:tab w:pos="468" w:val="left" w:leader="none"/>
              </w:tabs>
              <w:spacing w:line="240" w:lineRule="auto" w:before="0" w:after="0"/>
              <w:ind w:left="467" w:right="243" w:hanging="361"/>
              <w:jc w:val="left"/>
              <w:rPr>
                <w:sz w:val="22"/>
              </w:rPr>
            </w:pPr>
            <w:r>
              <w:rPr>
                <w:sz w:val="22"/>
              </w:rPr>
              <w:t>Following the pandemic, the recruitment market has changed quite substantially, with a developing candidate led environment, which requires talent recruitment to think differently about how to attract and retain the right candidates.</w:t>
            </w:r>
          </w:p>
          <w:p>
            <w:pPr>
              <w:pStyle w:val="TableParagraph"/>
              <w:numPr>
                <w:ilvl w:val="0"/>
                <w:numId w:val="49"/>
              </w:numPr>
              <w:tabs>
                <w:tab w:pos="467" w:val="left" w:leader="none"/>
                <w:tab w:pos="468" w:val="left" w:leader="none"/>
              </w:tabs>
              <w:spacing w:line="240" w:lineRule="auto" w:before="0" w:after="0"/>
              <w:ind w:left="467" w:right="378" w:hanging="361"/>
              <w:jc w:val="left"/>
              <w:rPr>
                <w:sz w:val="22"/>
              </w:rPr>
            </w:pPr>
            <w:r>
              <w:rPr>
                <w:sz w:val="22"/>
              </w:rPr>
              <w:t>People services has a People Strategy which is underpinned by a delivery plan with six core</w:t>
            </w:r>
            <w:r>
              <w:rPr>
                <w:spacing w:val="-3"/>
                <w:sz w:val="22"/>
              </w:rPr>
              <w:t> </w:t>
            </w:r>
            <w:r>
              <w:rPr>
                <w:sz w:val="22"/>
              </w:rPr>
              <w:t>priorities.</w:t>
            </w:r>
          </w:p>
          <w:p>
            <w:pPr>
              <w:pStyle w:val="TableParagraph"/>
              <w:numPr>
                <w:ilvl w:val="0"/>
                <w:numId w:val="49"/>
              </w:numPr>
              <w:tabs>
                <w:tab w:pos="468" w:val="left" w:leader="none"/>
              </w:tabs>
              <w:spacing w:line="240" w:lineRule="auto" w:before="0" w:after="0"/>
              <w:ind w:left="467" w:right="104" w:hanging="361"/>
              <w:jc w:val="both"/>
              <w:rPr>
                <w:sz w:val="22"/>
              </w:rPr>
            </w:pPr>
            <w:r>
              <w:rPr>
                <w:sz w:val="22"/>
              </w:rPr>
              <w:t>Capacity and capability has been stretched significantly across all teams with the exception of People Partnering which has necessitated flex across teams and has resulted in some delays in</w:t>
            </w:r>
            <w:r>
              <w:rPr>
                <w:spacing w:val="-5"/>
                <w:sz w:val="22"/>
              </w:rPr>
              <w:t> </w:t>
            </w:r>
            <w:r>
              <w:rPr>
                <w:sz w:val="22"/>
              </w:rPr>
              <w:t>recruitment.</w:t>
            </w:r>
          </w:p>
          <w:p>
            <w:pPr>
              <w:pStyle w:val="TableParagraph"/>
              <w:numPr>
                <w:ilvl w:val="0"/>
                <w:numId w:val="49"/>
              </w:numPr>
              <w:tabs>
                <w:tab w:pos="468" w:val="left" w:leader="none"/>
                <w:tab w:pos="469" w:val="left" w:leader="none"/>
              </w:tabs>
              <w:spacing w:line="240" w:lineRule="auto" w:before="0" w:after="0"/>
              <w:ind w:left="468" w:right="528" w:hanging="361"/>
              <w:jc w:val="left"/>
              <w:rPr>
                <w:sz w:val="22"/>
              </w:rPr>
            </w:pPr>
            <w:r>
              <w:rPr>
                <w:sz w:val="22"/>
              </w:rPr>
              <w:t>The Organisational Redesign Project will require a People Service input at various stages and additional temporary resources have been aligned to the function to support this.</w:t>
            </w:r>
          </w:p>
          <w:p>
            <w:pPr>
              <w:pStyle w:val="TableParagraph"/>
              <w:numPr>
                <w:ilvl w:val="0"/>
                <w:numId w:val="49"/>
              </w:numPr>
              <w:tabs>
                <w:tab w:pos="468" w:val="left" w:leader="none"/>
                <w:tab w:pos="469" w:val="left" w:leader="none"/>
              </w:tabs>
              <w:spacing w:line="240" w:lineRule="auto" w:before="0" w:after="0"/>
              <w:ind w:left="468" w:right="452" w:hanging="361"/>
              <w:jc w:val="left"/>
              <w:rPr>
                <w:sz w:val="22"/>
              </w:rPr>
            </w:pPr>
            <w:r>
              <w:rPr>
                <w:sz w:val="22"/>
              </w:rPr>
              <w:t>People Services have a key role to play in the force’s HMICFRS Improvement Plan including the development of the workforce plan. This will need to be aligned with the future business planning process to ensure that NYP has the capacity and capability to meet its future</w:t>
            </w:r>
            <w:r>
              <w:rPr>
                <w:spacing w:val="-5"/>
                <w:sz w:val="22"/>
              </w:rPr>
              <w:t> </w:t>
            </w:r>
            <w:r>
              <w:rPr>
                <w:sz w:val="22"/>
              </w:rPr>
              <w:t>demand.</w:t>
            </w:r>
          </w:p>
        </w:tc>
      </w:tr>
      <w:tr>
        <w:trPr>
          <w:trHeight w:val="7624" w:hRule="atLeast"/>
        </w:trPr>
        <w:tc>
          <w:tcPr>
            <w:tcW w:w="1697" w:type="dxa"/>
          </w:tcPr>
          <w:p>
            <w:pPr>
              <w:pStyle w:val="TableParagraph"/>
              <w:ind w:left="107" w:right="346"/>
              <w:rPr>
                <w:sz w:val="22"/>
              </w:rPr>
            </w:pPr>
            <w:r>
              <w:rPr>
                <w:sz w:val="22"/>
              </w:rPr>
              <w:t>11d. Learning and Development</w:t>
            </w:r>
          </w:p>
          <w:p>
            <w:pPr>
              <w:pStyle w:val="TableParagraph"/>
              <w:spacing w:before="12"/>
              <w:rPr>
                <w:sz w:val="21"/>
              </w:rPr>
            </w:pPr>
          </w:p>
          <w:p>
            <w:pPr>
              <w:pStyle w:val="TableParagraph"/>
              <w:ind w:left="256"/>
              <w:rPr>
                <w:sz w:val="20"/>
              </w:rPr>
            </w:pPr>
            <w:r>
              <w:rPr>
                <w:sz w:val="20"/>
              </w:rPr>
              <w:drawing>
                <wp:inline distT="0" distB="0" distL="0" distR="0">
                  <wp:extent cx="678941" cy="678941"/>
                  <wp:effectExtent l="0" t="0" r="0" b="0"/>
                  <wp:docPr id="65" name="image27.png"/>
                  <wp:cNvGraphicFramePr>
                    <a:graphicFrameLocks noChangeAspect="1"/>
                  </wp:cNvGraphicFramePr>
                  <a:graphic>
                    <a:graphicData uri="http://schemas.openxmlformats.org/drawingml/2006/picture">
                      <pic:pic>
                        <pic:nvPicPr>
                          <pic:cNvPr id="66" name="image27.png"/>
                          <pic:cNvPicPr/>
                        </pic:nvPicPr>
                        <pic:blipFill>
                          <a:blip r:embed="rId34" cstate="print"/>
                          <a:stretch>
                            <a:fillRect/>
                          </a:stretch>
                        </pic:blipFill>
                        <pic:spPr>
                          <a:xfrm>
                            <a:off x="0" y="0"/>
                            <a:ext cx="678941" cy="67894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8"/>
              </w:rPr>
            </w:pPr>
          </w:p>
        </w:tc>
        <w:tc>
          <w:tcPr>
            <w:tcW w:w="7795" w:type="dxa"/>
          </w:tcPr>
          <w:p>
            <w:pPr>
              <w:pStyle w:val="TableParagraph"/>
              <w:numPr>
                <w:ilvl w:val="0"/>
                <w:numId w:val="50"/>
              </w:numPr>
              <w:tabs>
                <w:tab w:pos="467" w:val="left" w:leader="none"/>
                <w:tab w:pos="468" w:val="left" w:leader="none"/>
              </w:tabs>
              <w:spacing w:line="240" w:lineRule="auto" w:before="0" w:after="0"/>
              <w:ind w:left="467" w:right="253" w:hanging="360"/>
              <w:jc w:val="left"/>
              <w:rPr>
                <w:sz w:val="22"/>
              </w:rPr>
            </w:pPr>
            <w:r>
              <w:rPr>
                <w:sz w:val="22"/>
              </w:rPr>
              <w:t>The majority of Learning and Development demand arises from ‘Principal’ learning and development requirements which North Yorkshire Police must deliver to ensure the safety of the workforce and compliance with the National Policing Curriculum, national legislation and guidance which is predominantly funded by the Force Training Budget.</w:t>
            </w:r>
          </w:p>
          <w:p>
            <w:pPr>
              <w:pStyle w:val="TableParagraph"/>
              <w:numPr>
                <w:ilvl w:val="0"/>
                <w:numId w:val="50"/>
              </w:numPr>
              <w:tabs>
                <w:tab w:pos="467" w:val="left" w:leader="none"/>
                <w:tab w:pos="468" w:val="left" w:leader="none"/>
              </w:tabs>
              <w:spacing w:line="240" w:lineRule="auto" w:before="0" w:after="0"/>
              <w:ind w:left="467" w:right="825" w:hanging="361"/>
              <w:jc w:val="left"/>
              <w:rPr>
                <w:sz w:val="22"/>
              </w:rPr>
            </w:pPr>
            <w:r>
              <w:rPr>
                <w:sz w:val="22"/>
              </w:rPr>
              <w:t>2023/24 recruitment schedule has been finalised and includes two PCDA courses, two DHEP’s and four transferee</w:t>
            </w:r>
            <w:r>
              <w:rPr>
                <w:spacing w:val="-5"/>
                <w:sz w:val="22"/>
              </w:rPr>
              <w:t> </w:t>
            </w:r>
            <w:r>
              <w:rPr>
                <w:sz w:val="22"/>
              </w:rPr>
              <w:t>courses.</w:t>
            </w:r>
          </w:p>
          <w:p>
            <w:pPr>
              <w:pStyle w:val="TableParagraph"/>
              <w:numPr>
                <w:ilvl w:val="0"/>
                <w:numId w:val="50"/>
              </w:numPr>
              <w:tabs>
                <w:tab w:pos="467" w:val="left" w:leader="none"/>
                <w:tab w:pos="468" w:val="left" w:leader="none"/>
              </w:tabs>
              <w:spacing w:line="240" w:lineRule="auto" w:before="0" w:after="0"/>
              <w:ind w:left="467" w:right="128" w:hanging="361"/>
              <w:jc w:val="left"/>
              <w:rPr>
                <w:sz w:val="22"/>
              </w:rPr>
            </w:pPr>
            <w:r>
              <w:rPr>
                <w:sz w:val="22"/>
              </w:rPr>
              <w:t>From 1st April 2024, all forces are required to deliver the new Personal and Public Safety Training (PPST) programme which moves to a more scenario-based structure and will require an extra day’s abstraction for all eligible officers and staff.</w:t>
            </w:r>
          </w:p>
          <w:p>
            <w:pPr>
              <w:pStyle w:val="TableParagraph"/>
              <w:numPr>
                <w:ilvl w:val="0"/>
                <w:numId w:val="50"/>
              </w:numPr>
              <w:tabs>
                <w:tab w:pos="467" w:val="left" w:leader="none"/>
                <w:tab w:pos="468" w:val="left" w:leader="none"/>
              </w:tabs>
              <w:spacing w:line="240" w:lineRule="auto" w:before="0" w:after="0"/>
              <w:ind w:left="467" w:right="138" w:hanging="361"/>
              <w:jc w:val="left"/>
              <w:rPr>
                <w:sz w:val="22"/>
              </w:rPr>
            </w:pPr>
            <w:r>
              <w:rPr>
                <w:sz w:val="22"/>
              </w:rPr>
              <w:t>Fast roads training has been piloted with Driver Training and has now been agreed to be included as part of the refresh driver training for all eligible officers and staff moving</w:t>
            </w:r>
            <w:r>
              <w:rPr>
                <w:spacing w:val="-5"/>
                <w:sz w:val="22"/>
              </w:rPr>
              <w:t> </w:t>
            </w:r>
            <w:r>
              <w:rPr>
                <w:sz w:val="22"/>
              </w:rPr>
              <w:t>forwards.</w:t>
            </w:r>
          </w:p>
          <w:p>
            <w:pPr>
              <w:pStyle w:val="TableParagraph"/>
              <w:numPr>
                <w:ilvl w:val="0"/>
                <w:numId w:val="50"/>
              </w:numPr>
              <w:tabs>
                <w:tab w:pos="467" w:val="left" w:leader="none"/>
                <w:tab w:pos="468" w:val="left" w:leader="none"/>
              </w:tabs>
              <w:spacing w:line="240" w:lineRule="auto" w:before="0" w:after="0"/>
              <w:ind w:left="467" w:right="246" w:hanging="361"/>
              <w:jc w:val="left"/>
              <w:rPr>
                <w:sz w:val="22"/>
              </w:rPr>
            </w:pPr>
            <w:r>
              <w:rPr>
                <w:sz w:val="22"/>
              </w:rPr>
              <w:t>The new College of Policing fourth entry route to policing is proposed to go live from April 2024, and North Yorkshire Police are looking to be an early</w:t>
            </w:r>
            <w:r>
              <w:rPr>
                <w:spacing w:val="-30"/>
                <w:sz w:val="22"/>
              </w:rPr>
              <w:t> </w:t>
            </w:r>
            <w:r>
              <w:rPr>
                <w:sz w:val="22"/>
              </w:rPr>
              <w:t>adopter.</w:t>
            </w:r>
          </w:p>
          <w:p>
            <w:pPr>
              <w:pStyle w:val="TableParagraph"/>
              <w:numPr>
                <w:ilvl w:val="0"/>
                <w:numId w:val="50"/>
              </w:numPr>
              <w:tabs>
                <w:tab w:pos="468" w:val="left" w:leader="none"/>
                <w:tab w:pos="469" w:val="left" w:leader="none"/>
              </w:tabs>
              <w:spacing w:line="240" w:lineRule="auto" w:before="0" w:after="0"/>
              <w:ind w:left="468" w:right="107" w:hanging="361"/>
              <w:jc w:val="left"/>
              <w:rPr>
                <w:sz w:val="22"/>
              </w:rPr>
            </w:pPr>
            <w:r>
              <w:rPr>
                <w:sz w:val="22"/>
              </w:rPr>
              <w:t>A Skills &amp; Capabilities Meeting is in place to oversee and prioritise strategic organisational learning and development needs to ensure North Yorkshire Police has the skills and capabilities to meet anticipated future demand</w:t>
            </w:r>
            <w:r>
              <w:rPr>
                <w:spacing w:val="-17"/>
                <w:sz w:val="22"/>
              </w:rPr>
              <w:t> </w:t>
            </w:r>
            <w:r>
              <w:rPr>
                <w:sz w:val="22"/>
              </w:rPr>
              <w:t>sustainably.</w:t>
            </w:r>
          </w:p>
          <w:p>
            <w:pPr>
              <w:pStyle w:val="TableParagraph"/>
              <w:numPr>
                <w:ilvl w:val="0"/>
                <w:numId w:val="50"/>
              </w:numPr>
              <w:tabs>
                <w:tab w:pos="468" w:val="left" w:leader="none"/>
                <w:tab w:pos="469" w:val="left" w:leader="none"/>
              </w:tabs>
              <w:spacing w:line="240" w:lineRule="auto" w:before="0" w:after="0"/>
              <w:ind w:left="468" w:right="569" w:hanging="361"/>
              <w:jc w:val="left"/>
              <w:rPr>
                <w:sz w:val="22"/>
              </w:rPr>
            </w:pPr>
            <w:r>
              <w:rPr>
                <w:sz w:val="22"/>
              </w:rPr>
              <w:t>An evaluation programme has been established for internal and external trainers as well as a programme of evaluation of the training material being delivered.</w:t>
            </w:r>
          </w:p>
          <w:p>
            <w:pPr>
              <w:pStyle w:val="TableParagraph"/>
              <w:numPr>
                <w:ilvl w:val="0"/>
                <w:numId w:val="50"/>
              </w:numPr>
              <w:tabs>
                <w:tab w:pos="468" w:val="left" w:leader="none"/>
                <w:tab w:pos="469" w:val="left" w:leader="none"/>
              </w:tabs>
              <w:spacing w:line="240" w:lineRule="auto" w:before="0" w:after="0"/>
              <w:ind w:left="468" w:right="144" w:hanging="361"/>
              <w:jc w:val="left"/>
              <w:rPr>
                <w:sz w:val="22"/>
              </w:rPr>
            </w:pPr>
            <w:r>
              <w:rPr>
                <w:sz w:val="22"/>
              </w:rPr>
              <w:t>A PPST delivery programme has been established to clear the backlog of those officers out of ticket by September 2023 with clear governance arrangements to ensure efficient delivery in the future.</w:t>
            </w:r>
          </w:p>
          <w:p>
            <w:pPr>
              <w:pStyle w:val="TableParagraph"/>
              <w:numPr>
                <w:ilvl w:val="0"/>
                <w:numId w:val="50"/>
              </w:numPr>
              <w:tabs>
                <w:tab w:pos="467" w:val="left" w:leader="none"/>
                <w:tab w:pos="468" w:val="left" w:leader="none"/>
              </w:tabs>
              <w:spacing w:line="268" w:lineRule="exact" w:before="5" w:after="0"/>
              <w:ind w:left="467" w:right="172" w:hanging="360"/>
              <w:jc w:val="left"/>
              <w:rPr>
                <w:sz w:val="22"/>
              </w:rPr>
            </w:pPr>
            <w:r>
              <w:rPr>
                <w:sz w:val="22"/>
              </w:rPr>
              <w:t>Learning and Development currently have two trainers undertaking the necessary training and accreditation to become qualified to deliver PNC training for the force.</w:t>
            </w:r>
          </w:p>
        </w:tc>
      </w:tr>
    </w:tbl>
    <w:p>
      <w:pPr>
        <w:spacing w:after="0" w:line="268" w:lineRule="exac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833" w:hRule="atLeast"/>
        </w:trPr>
        <w:tc>
          <w:tcPr>
            <w:tcW w:w="1697" w:type="dxa"/>
          </w:tcPr>
          <w:p>
            <w:pPr>
              <w:pStyle w:val="TableParagraph"/>
              <w:rPr>
                <w:rFonts w:ascii="Times New Roman"/>
                <w:sz w:val="22"/>
              </w:rPr>
            </w:pPr>
          </w:p>
        </w:tc>
        <w:tc>
          <w:tcPr>
            <w:tcW w:w="7795" w:type="dxa"/>
          </w:tcPr>
          <w:p>
            <w:pPr>
              <w:pStyle w:val="TableParagraph"/>
              <w:numPr>
                <w:ilvl w:val="0"/>
                <w:numId w:val="51"/>
              </w:numPr>
              <w:tabs>
                <w:tab w:pos="467" w:val="left" w:leader="none"/>
                <w:tab w:pos="468" w:val="left" w:leader="none"/>
              </w:tabs>
              <w:spacing w:line="240" w:lineRule="auto" w:before="0" w:after="0"/>
              <w:ind w:left="467" w:right="314" w:hanging="360"/>
              <w:jc w:val="left"/>
              <w:rPr>
                <w:sz w:val="22"/>
              </w:rPr>
            </w:pPr>
            <w:r>
              <w:rPr>
                <w:sz w:val="22"/>
              </w:rPr>
              <w:t>In response to the mandating of a new national curriculum for PPST from April 2024, the force anticipates a requirement for more PPST instructors and dedicated facilities which have been progressed for</w:t>
            </w:r>
            <w:r>
              <w:rPr>
                <w:spacing w:val="-11"/>
                <w:sz w:val="22"/>
              </w:rPr>
              <w:t> </w:t>
            </w:r>
            <w:r>
              <w:rPr>
                <w:sz w:val="22"/>
              </w:rPr>
              <w:t>agreement.</w:t>
            </w:r>
          </w:p>
          <w:p>
            <w:pPr>
              <w:pStyle w:val="TableParagraph"/>
              <w:numPr>
                <w:ilvl w:val="0"/>
                <w:numId w:val="51"/>
              </w:numPr>
              <w:tabs>
                <w:tab w:pos="467" w:val="left" w:leader="none"/>
                <w:tab w:pos="468" w:val="left" w:leader="none"/>
              </w:tabs>
              <w:spacing w:line="240" w:lineRule="auto" w:before="0" w:after="0"/>
              <w:ind w:left="467" w:right="399" w:hanging="361"/>
              <w:jc w:val="left"/>
              <w:rPr>
                <w:sz w:val="22"/>
              </w:rPr>
            </w:pPr>
            <w:r>
              <w:rPr>
                <w:sz w:val="22"/>
              </w:rPr>
              <w:t>Demand can be met by Learning and Development if the force works to the Plans in place and provide the additional requirements to meet the new PPST programme.</w:t>
            </w:r>
          </w:p>
        </w:tc>
      </w:tr>
      <w:tr>
        <w:trPr>
          <w:trHeight w:val="6270" w:hRule="atLeast"/>
        </w:trPr>
        <w:tc>
          <w:tcPr>
            <w:tcW w:w="1697" w:type="dxa"/>
          </w:tcPr>
          <w:p>
            <w:pPr>
              <w:pStyle w:val="TableParagraph"/>
              <w:ind w:left="107" w:right="431"/>
              <w:rPr>
                <w:sz w:val="22"/>
              </w:rPr>
            </w:pPr>
            <w:r>
              <w:rPr>
                <w:sz w:val="22"/>
              </w:rPr>
              <w:t>11e. Finance Department</w:t>
            </w:r>
          </w:p>
          <w:p>
            <w:pPr>
              <w:pStyle w:val="TableParagraph"/>
              <w:rPr>
                <w:sz w:val="22"/>
              </w:rPr>
            </w:pPr>
          </w:p>
          <w:p>
            <w:pPr>
              <w:pStyle w:val="TableParagraph"/>
              <w:ind w:left="256"/>
              <w:rPr>
                <w:sz w:val="20"/>
              </w:rPr>
            </w:pPr>
            <w:r>
              <w:rPr>
                <w:sz w:val="20"/>
              </w:rPr>
              <w:drawing>
                <wp:inline distT="0" distB="0" distL="0" distR="0">
                  <wp:extent cx="678944" cy="678942"/>
                  <wp:effectExtent l="0" t="0" r="0" b="0"/>
                  <wp:docPr id="67" name="image27.png"/>
                  <wp:cNvGraphicFramePr>
                    <a:graphicFrameLocks noChangeAspect="1"/>
                  </wp:cNvGraphicFramePr>
                  <a:graphic>
                    <a:graphicData uri="http://schemas.openxmlformats.org/drawingml/2006/picture">
                      <pic:pic>
                        <pic:nvPicPr>
                          <pic:cNvPr id="68" name="image27.png"/>
                          <pic:cNvPicPr/>
                        </pic:nvPicPr>
                        <pic:blipFill>
                          <a:blip r:embed="rId34" cstate="print"/>
                          <a:stretch>
                            <a:fillRect/>
                          </a:stretch>
                        </pic:blipFill>
                        <pic:spPr>
                          <a:xfrm>
                            <a:off x="0" y="0"/>
                            <a:ext cx="678944"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52"/>
              </w:numPr>
              <w:tabs>
                <w:tab w:pos="467" w:val="left" w:leader="none"/>
                <w:tab w:pos="468" w:val="left" w:leader="none"/>
              </w:tabs>
              <w:spacing w:line="280" w:lineRule="exact" w:before="0" w:after="0"/>
              <w:ind w:left="467" w:right="0" w:hanging="361"/>
              <w:jc w:val="left"/>
              <w:rPr>
                <w:sz w:val="22"/>
              </w:rPr>
            </w:pPr>
            <w:r>
              <w:rPr>
                <w:sz w:val="22"/>
              </w:rPr>
              <w:t>The Finance function operates using a capacity led demand</w:t>
            </w:r>
            <w:r>
              <w:rPr>
                <w:spacing w:val="-11"/>
                <w:sz w:val="22"/>
              </w:rPr>
              <w:t> </w:t>
            </w:r>
            <w:r>
              <w:rPr>
                <w:sz w:val="22"/>
              </w:rPr>
              <w:t>model.</w:t>
            </w:r>
          </w:p>
          <w:p>
            <w:pPr>
              <w:pStyle w:val="TableParagraph"/>
              <w:numPr>
                <w:ilvl w:val="0"/>
                <w:numId w:val="52"/>
              </w:numPr>
              <w:tabs>
                <w:tab w:pos="467" w:val="left" w:leader="none"/>
                <w:tab w:pos="468" w:val="left" w:leader="none"/>
              </w:tabs>
              <w:spacing w:line="240" w:lineRule="auto" w:before="0" w:after="0"/>
              <w:ind w:left="467" w:right="219" w:hanging="361"/>
              <w:jc w:val="left"/>
              <w:rPr>
                <w:sz w:val="22"/>
              </w:rPr>
            </w:pPr>
            <w:r>
              <w:rPr>
                <w:sz w:val="22"/>
              </w:rPr>
              <w:t>The project to review the potential efficiency and effectiveness of investing in a joint finance system for NYP and NYFRS has been suspended due to the uncertainty of the move to a Combined Authority Mayoral model in</w:t>
            </w:r>
            <w:r>
              <w:rPr>
                <w:spacing w:val="-19"/>
                <w:sz w:val="22"/>
              </w:rPr>
              <w:t> </w:t>
            </w:r>
            <w:r>
              <w:rPr>
                <w:sz w:val="22"/>
              </w:rPr>
              <w:t>2024.</w:t>
            </w:r>
          </w:p>
          <w:p>
            <w:pPr>
              <w:pStyle w:val="TableParagraph"/>
              <w:numPr>
                <w:ilvl w:val="0"/>
                <w:numId w:val="52"/>
              </w:numPr>
              <w:tabs>
                <w:tab w:pos="467" w:val="left" w:leader="none"/>
                <w:tab w:pos="468" w:val="left" w:leader="none"/>
              </w:tabs>
              <w:spacing w:line="240" w:lineRule="auto" w:before="0" w:after="0"/>
              <w:ind w:left="467" w:right="112" w:hanging="361"/>
              <w:jc w:val="left"/>
              <w:rPr>
                <w:sz w:val="22"/>
              </w:rPr>
            </w:pPr>
            <w:r>
              <w:rPr>
                <w:sz w:val="22"/>
              </w:rPr>
              <w:t>In March 2023, the Chief Constable, Chief Fire &amp; Rescue Officer and the PFCC agreed that a business case should be prepared in summer 2023 to evaluate whether a collaborative delivery model, including investment into a joint finance system, would be more efficient and effective than separate NYP and NYFRS Finance teams.</w:t>
            </w:r>
          </w:p>
          <w:p>
            <w:pPr>
              <w:pStyle w:val="TableParagraph"/>
              <w:numPr>
                <w:ilvl w:val="0"/>
                <w:numId w:val="52"/>
              </w:numPr>
              <w:tabs>
                <w:tab w:pos="468" w:val="left" w:leader="none"/>
                <w:tab w:pos="469" w:val="left" w:leader="none"/>
              </w:tabs>
              <w:spacing w:line="240" w:lineRule="auto" w:before="0" w:after="0"/>
              <w:ind w:left="468" w:right="510" w:hanging="361"/>
              <w:jc w:val="left"/>
              <w:rPr>
                <w:sz w:val="22"/>
              </w:rPr>
            </w:pPr>
            <w:r>
              <w:rPr>
                <w:sz w:val="22"/>
              </w:rPr>
              <w:t>The Payroll system will be included within the scope of the financial</w:t>
            </w:r>
            <w:r>
              <w:rPr>
                <w:spacing w:val="-29"/>
                <w:sz w:val="22"/>
              </w:rPr>
              <w:t> </w:t>
            </w:r>
            <w:r>
              <w:rPr>
                <w:sz w:val="22"/>
              </w:rPr>
              <w:t>systems review business</w:t>
            </w:r>
            <w:r>
              <w:rPr>
                <w:spacing w:val="-2"/>
                <w:sz w:val="22"/>
              </w:rPr>
              <w:t> </w:t>
            </w:r>
            <w:r>
              <w:rPr>
                <w:sz w:val="22"/>
              </w:rPr>
              <w:t>case.</w:t>
            </w:r>
          </w:p>
          <w:p>
            <w:pPr>
              <w:pStyle w:val="TableParagraph"/>
              <w:numPr>
                <w:ilvl w:val="0"/>
                <w:numId w:val="52"/>
              </w:numPr>
              <w:tabs>
                <w:tab w:pos="468" w:val="left" w:leader="none"/>
                <w:tab w:pos="469" w:val="left" w:leader="none"/>
              </w:tabs>
              <w:spacing w:line="240" w:lineRule="auto" w:before="0" w:after="0"/>
              <w:ind w:left="468" w:right="203" w:hanging="361"/>
              <w:jc w:val="left"/>
              <w:rPr>
                <w:sz w:val="22"/>
              </w:rPr>
            </w:pPr>
            <w:r>
              <w:rPr>
                <w:sz w:val="22"/>
              </w:rPr>
              <w:t>From June 2023, the Budgeting and Accounting team will revert back to separate NYP and NYFRS teams, to overcome some of the challenges caused by operating two separate financial systems via separate hardware. The teams will be linked into the financial systems business</w:t>
            </w:r>
            <w:r>
              <w:rPr>
                <w:spacing w:val="-5"/>
                <w:sz w:val="22"/>
              </w:rPr>
              <w:t> </w:t>
            </w:r>
            <w:r>
              <w:rPr>
                <w:sz w:val="22"/>
              </w:rPr>
              <w:t>case.</w:t>
            </w:r>
          </w:p>
          <w:p>
            <w:pPr>
              <w:pStyle w:val="TableParagraph"/>
              <w:numPr>
                <w:ilvl w:val="0"/>
                <w:numId w:val="52"/>
              </w:numPr>
              <w:tabs>
                <w:tab w:pos="468" w:val="left" w:leader="none"/>
                <w:tab w:pos="469" w:val="left" w:leader="none"/>
              </w:tabs>
              <w:spacing w:line="240" w:lineRule="auto" w:before="0" w:after="0"/>
              <w:ind w:left="468" w:right="283" w:hanging="361"/>
              <w:jc w:val="left"/>
              <w:rPr>
                <w:sz w:val="22"/>
              </w:rPr>
            </w:pPr>
            <w:r>
              <w:rPr>
                <w:sz w:val="22"/>
              </w:rPr>
              <w:t>In April 2023, the Chief Constables and PCC/PFCCs of YatH have elected to give 12 months’ notice to exit the Regional Procurement</w:t>
            </w:r>
            <w:r>
              <w:rPr>
                <w:spacing w:val="-7"/>
                <w:sz w:val="22"/>
              </w:rPr>
              <w:t> </w:t>
            </w:r>
            <w:r>
              <w:rPr>
                <w:sz w:val="22"/>
              </w:rPr>
              <w:t>collaboration.</w:t>
            </w:r>
          </w:p>
          <w:p>
            <w:pPr>
              <w:pStyle w:val="TableParagraph"/>
              <w:numPr>
                <w:ilvl w:val="0"/>
                <w:numId w:val="52"/>
              </w:numPr>
              <w:tabs>
                <w:tab w:pos="468" w:val="left" w:leader="none"/>
                <w:tab w:pos="469" w:val="left" w:leader="none"/>
              </w:tabs>
              <w:spacing w:line="240" w:lineRule="auto" w:before="0" w:after="0"/>
              <w:ind w:left="468" w:right="321" w:hanging="361"/>
              <w:jc w:val="left"/>
              <w:rPr>
                <w:sz w:val="22"/>
              </w:rPr>
            </w:pPr>
            <w:r>
              <w:rPr>
                <w:sz w:val="22"/>
              </w:rPr>
              <w:t>The Finance Department will review the efficiency and effectiveness of collaborative working arrangements versus separate NYP and NYFRS functions within the business case to be prepared later in</w:t>
            </w:r>
            <w:r>
              <w:rPr>
                <w:spacing w:val="-6"/>
                <w:sz w:val="22"/>
              </w:rPr>
              <w:t> </w:t>
            </w:r>
            <w:r>
              <w:rPr>
                <w:sz w:val="22"/>
              </w:rPr>
              <w:t>2023.</w:t>
            </w:r>
          </w:p>
          <w:p>
            <w:pPr>
              <w:pStyle w:val="TableParagraph"/>
              <w:numPr>
                <w:ilvl w:val="0"/>
                <w:numId w:val="52"/>
              </w:numPr>
              <w:tabs>
                <w:tab w:pos="468" w:val="left" w:leader="none"/>
                <w:tab w:pos="470" w:val="left" w:leader="none"/>
              </w:tabs>
              <w:spacing w:line="240" w:lineRule="auto" w:before="0" w:after="0"/>
              <w:ind w:left="469" w:right="384" w:hanging="361"/>
              <w:jc w:val="left"/>
              <w:rPr>
                <w:sz w:val="22"/>
              </w:rPr>
            </w:pPr>
            <w:r>
              <w:rPr>
                <w:sz w:val="22"/>
              </w:rPr>
              <w:t>The force anticipates that its plans, subject to the review of collaboration, are sufficient to meet future</w:t>
            </w:r>
            <w:r>
              <w:rPr>
                <w:spacing w:val="1"/>
                <w:sz w:val="22"/>
              </w:rPr>
              <w:t> </w:t>
            </w:r>
            <w:r>
              <w:rPr>
                <w:sz w:val="22"/>
              </w:rPr>
              <w:t>demand.</w:t>
            </w:r>
          </w:p>
        </w:tc>
      </w:tr>
      <w:tr>
        <w:trPr>
          <w:trHeight w:val="6222" w:hRule="atLeast"/>
        </w:trPr>
        <w:tc>
          <w:tcPr>
            <w:tcW w:w="1697" w:type="dxa"/>
          </w:tcPr>
          <w:p>
            <w:pPr>
              <w:pStyle w:val="TableParagraph"/>
              <w:ind w:left="107" w:right="395"/>
              <w:rPr>
                <w:sz w:val="22"/>
              </w:rPr>
            </w:pPr>
            <w:r>
              <w:rPr>
                <w:sz w:val="22"/>
              </w:rPr>
              <w:t>11f. Business Design and Assurance</w:t>
            </w:r>
          </w:p>
          <w:p>
            <w:pPr>
              <w:pStyle w:val="TableParagraph"/>
              <w:rPr>
                <w:sz w:val="22"/>
              </w:rPr>
            </w:pPr>
          </w:p>
          <w:p>
            <w:pPr>
              <w:pStyle w:val="TableParagraph"/>
              <w:ind w:left="256"/>
              <w:rPr>
                <w:sz w:val="20"/>
              </w:rPr>
            </w:pPr>
            <w:r>
              <w:rPr>
                <w:sz w:val="20"/>
              </w:rPr>
              <w:drawing>
                <wp:inline distT="0" distB="0" distL="0" distR="0">
                  <wp:extent cx="678942" cy="678941"/>
                  <wp:effectExtent l="0" t="0" r="0" b="0"/>
                  <wp:docPr id="69" name="image27.png"/>
                  <wp:cNvGraphicFramePr>
                    <a:graphicFrameLocks noChangeAspect="1"/>
                  </wp:cNvGraphicFramePr>
                  <a:graphic>
                    <a:graphicData uri="http://schemas.openxmlformats.org/drawingml/2006/picture">
                      <pic:pic>
                        <pic:nvPicPr>
                          <pic:cNvPr id="70" name="image27.png"/>
                          <pic:cNvPicPr/>
                        </pic:nvPicPr>
                        <pic:blipFill>
                          <a:blip r:embed="rId34" cstate="print"/>
                          <a:stretch>
                            <a:fillRect/>
                          </a:stretch>
                        </pic:blipFill>
                        <pic:spPr>
                          <a:xfrm>
                            <a:off x="0" y="0"/>
                            <a:ext cx="678942" cy="678941"/>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tc>
        <w:tc>
          <w:tcPr>
            <w:tcW w:w="7795" w:type="dxa"/>
          </w:tcPr>
          <w:p>
            <w:pPr>
              <w:pStyle w:val="TableParagraph"/>
              <w:numPr>
                <w:ilvl w:val="0"/>
                <w:numId w:val="53"/>
              </w:numPr>
              <w:tabs>
                <w:tab w:pos="467" w:val="left" w:leader="none"/>
                <w:tab w:pos="468" w:val="left" w:leader="none"/>
              </w:tabs>
              <w:spacing w:line="240" w:lineRule="auto" w:before="0" w:after="0"/>
              <w:ind w:left="467" w:right="132" w:hanging="360"/>
              <w:jc w:val="left"/>
              <w:rPr>
                <w:sz w:val="22"/>
              </w:rPr>
            </w:pPr>
            <w:r>
              <w:rPr>
                <w:sz w:val="22"/>
              </w:rPr>
              <w:t>As of April 2023, the Managing Director role for enableNY role was disestablished following the retirement of the post holder and a new joint Assistant Chief Officer (ACO) role has been introduced to oversee the corporate services for NYP, NYFRS and the OPFCC. In addition, a revised Head of Business Design and Assurance (BDA) has been brought in to lead our integrated business planning process, drive prioritisation of investments and efficiencies, deliver transformational change programmes, and bring</w:t>
            </w:r>
            <w:r>
              <w:rPr>
                <w:spacing w:val="-6"/>
                <w:sz w:val="22"/>
              </w:rPr>
              <w:t> </w:t>
            </w:r>
            <w:r>
              <w:rPr>
                <w:sz w:val="22"/>
              </w:rPr>
              <w:t>insight.</w:t>
            </w:r>
          </w:p>
          <w:p>
            <w:pPr>
              <w:pStyle w:val="TableParagraph"/>
              <w:numPr>
                <w:ilvl w:val="0"/>
                <w:numId w:val="53"/>
              </w:numPr>
              <w:tabs>
                <w:tab w:pos="467" w:val="left" w:leader="none"/>
                <w:tab w:pos="468" w:val="left" w:leader="none"/>
              </w:tabs>
              <w:spacing w:line="240" w:lineRule="auto" w:before="0" w:after="0"/>
              <w:ind w:left="467" w:right="135" w:hanging="361"/>
              <w:jc w:val="left"/>
              <w:rPr>
                <w:sz w:val="22"/>
              </w:rPr>
            </w:pPr>
            <w:r>
              <w:rPr>
                <w:sz w:val="22"/>
              </w:rPr>
              <w:t>As part of the forces organisational design work, we have worked with other forces (including Humberside) to compare similar BDA functions and structures, this has identified that BDA is potentially not efficient and effective in its current format. The new Head of BDA, starting in June, will review the learning and will undertake a further review of the structure and shape of the</w:t>
            </w:r>
            <w:r>
              <w:rPr>
                <w:spacing w:val="-14"/>
                <w:sz w:val="22"/>
              </w:rPr>
              <w:t> </w:t>
            </w:r>
            <w:r>
              <w:rPr>
                <w:sz w:val="22"/>
              </w:rPr>
              <w:t>function.</w:t>
            </w:r>
          </w:p>
          <w:p>
            <w:pPr>
              <w:pStyle w:val="TableParagraph"/>
              <w:numPr>
                <w:ilvl w:val="0"/>
                <w:numId w:val="53"/>
              </w:numPr>
              <w:tabs>
                <w:tab w:pos="467" w:val="left" w:leader="none"/>
                <w:tab w:pos="468" w:val="left" w:leader="none"/>
              </w:tabs>
              <w:spacing w:line="240" w:lineRule="auto" w:before="0" w:after="0"/>
              <w:ind w:left="467" w:right="123" w:hanging="361"/>
              <w:jc w:val="left"/>
              <w:rPr>
                <w:sz w:val="22"/>
              </w:rPr>
            </w:pPr>
            <w:r>
              <w:rPr>
                <w:sz w:val="22"/>
              </w:rPr>
              <w:t>PPMO demand is managed and prioritised via the change pipeline. The force has seen the volume of change continue to grow and has implemented a prioritisation process, linked to the integrated business planning model and FMS, in order to manage growth in future demand. Capacity to meet demand is managed through risk based re-prioritisation of the change pipeline. A review of the effectiveness of the temporary increase in PPMO resource put in place in 2021 was conducted aligned to the 2023/24 service planning cycle, these costed plans have been paused as the force carries out its organisational design</w:t>
            </w:r>
            <w:r>
              <w:rPr>
                <w:spacing w:val="-27"/>
                <w:sz w:val="22"/>
              </w:rPr>
              <w:t> </w:t>
            </w:r>
            <w:r>
              <w:rPr>
                <w:sz w:val="22"/>
              </w:rPr>
              <w:t>work.</w:t>
            </w:r>
          </w:p>
          <w:p>
            <w:pPr>
              <w:pStyle w:val="TableParagraph"/>
              <w:numPr>
                <w:ilvl w:val="0"/>
                <w:numId w:val="53"/>
              </w:numPr>
              <w:tabs>
                <w:tab w:pos="467" w:val="left" w:leader="none"/>
                <w:tab w:pos="468" w:val="left" w:leader="none"/>
              </w:tabs>
              <w:spacing w:line="237" w:lineRule="auto" w:before="2" w:after="0"/>
              <w:ind w:left="467" w:right="224" w:hanging="361"/>
              <w:jc w:val="left"/>
              <w:rPr>
                <w:sz w:val="22"/>
              </w:rPr>
            </w:pPr>
            <w:r>
              <w:rPr>
                <w:sz w:val="22"/>
              </w:rPr>
              <w:t>OBC demand is aligned to the change pipeline and is categorised, managed and prioritised in the same way as PPMO demand and has the capacity</w:t>
            </w:r>
            <w:r>
              <w:rPr>
                <w:spacing w:val="-15"/>
                <w:sz w:val="22"/>
              </w:rPr>
              <w:t> </w:t>
            </w:r>
            <w:r>
              <w:rPr>
                <w:sz w:val="22"/>
              </w:rPr>
              <w:t>and</w:t>
            </w:r>
          </w:p>
          <w:p>
            <w:pPr>
              <w:pStyle w:val="TableParagraph"/>
              <w:spacing w:line="249" w:lineRule="exact" w:before="2"/>
              <w:ind w:left="467"/>
              <w:rPr>
                <w:sz w:val="22"/>
              </w:rPr>
            </w:pPr>
            <w:r>
              <w:rPr>
                <w:sz w:val="22"/>
              </w:rPr>
              <w:t>capability to meet its current demand.</w:t>
            </w:r>
          </w:p>
        </w:tc>
      </w:tr>
    </w:tbl>
    <w:p>
      <w:pPr>
        <w:spacing w:after="0" w:line="249" w:lineRule="exac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10720" w:hRule="atLeast"/>
        </w:trPr>
        <w:tc>
          <w:tcPr>
            <w:tcW w:w="1697" w:type="dxa"/>
          </w:tcPr>
          <w:p>
            <w:pPr>
              <w:pStyle w:val="TableParagraph"/>
              <w:rPr>
                <w:rFonts w:ascii="Times New Roman"/>
                <w:sz w:val="22"/>
              </w:rPr>
            </w:pPr>
          </w:p>
        </w:tc>
        <w:tc>
          <w:tcPr>
            <w:tcW w:w="7795" w:type="dxa"/>
          </w:tcPr>
          <w:p>
            <w:pPr>
              <w:pStyle w:val="TableParagraph"/>
              <w:numPr>
                <w:ilvl w:val="0"/>
                <w:numId w:val="54"/>
              </w:numPr>
              <w:tabs>
                <w:tab w:pos="467" w:val="left" w:leader="none"/>
                <w:tab w:pos="468" w:val="left" w:leader="none"/>
              </w:tabs>
              <w:spacing w:line="240" w:lineRule="auto" w:before="0" w:after="0"/>
              <w:ind w:left="467" w:right="124" w:hanging="360"/>
              <w:jc w:val="left"/>
              <w:rPr>
                <w:sz w:val="22"/>
              </w:rPr>
            </w:pPr>
            <w:r>
              <w:rPr>
                <w:sz w:val="22"/>
              </w:rPr>
              <w:t>Demand for Business Insight services: demand for business intelligence (See also chapter 10) through data analytics is likely to continue grow as the breadth and depth of data within police and across partners grow alongside an increasing national desire for policing data. Demand upon the Inspection and Assurance team is expected to increase linked to internal inspection related assurance activity and growth in officer numbers and activity will increase audit requirement relating to maintaining our accreditation (DFU) and transactional auditing (legitimate use of systems). Both teams within Business Insight do not have the capacity and capability to meet its current demand. The full effect of the uplift in resources from the 2022/23 service plans and the restructure in 2022 have yet to be felt however the ability to resource the forecast increase in demand will need to be considered</w:t>
            </w:r>
            <w:r>
              <w:rPr>
                <w:spacing w:val="-9"/>
                <w:sz w:val="22"/>
              </w:rPr>
              <w:t> </w:t>
            </w:r>
            <w:r>
              <w:rPr>
                <w:sz w:val="22"/>
              </w:rPr>
              <w:t>further.</w:t>
            </w:r>
          </w:p>
          <w:p>
            <w:pPr>
              <w:pStyle w:val="TableParagraph"/>
              <w:numPr>
                <w:ilvl w:val="0"/>
                <w:numId w:val="54"/>
              </w:numPr>
              <w:tabs>
                <w:tab w:pos="467" w:val="left" w:leader="none"/>
                <w:tab w:pos="468" w:val="left" w:leader="none"/>
              </w:tabs>
              <w:spacing w:line="240" w:lineRule="auto" w:before="0" w:after="0"/>
              <w:ind w:left="467" w:right="114" w:hanging="361"/>
              <w:jc w:val="left"/>
              <w:rPr>
                <w:sz w:val="22"/>
              </w:rPr>
            </w:pPr>
            <w:r>
              <w:rPr>
                <w:sz w:val="22"/>
              </w:rPr>
              <w:t>Demand within Information Management is predicted to remain within manageable levels with the exception of NSA and the Compliance Team, this is increased demand is linked to a number of competing projects. Information management does not have the capacity and capability to meet its current demand in some areas. The DBS team currently has a backlog of over 8,000 checks, this is as a result of a number of concurrent capacity issues and delays in recruitment. A temporary uplift in the NSA and Compliance teams was approved through the business planning process in order to meet the forecast increase in demand and this has started to take effect and in 2023/24 there will be a focus on ensuring that these staff are trained and have the capable expertise to meet the anticipated increase in demand over the next 4</w:t>
            </w:r>
            <w:r>
              <w:rPr>
                <w:spacing w:val="-10"/>
                <w:sz w:val="22"/>
              </w:rPr>
              <w:t> </w:t>
            </w:r>
            <w:r>
              <w:rPr>
                <w:sz w:val="22"/>
              </w:rPr>
              <w:t>years.</w:t>
            </w:r>
          </w:p>
          <w:p>
            <w:pPr>
              <w:pStyle w:val="TableParagraph"/>
              <w:numPr>
                <w:ilvl w:val="0"/>
                <w:numId w:val="54"/>
              </w:numPr>
              <w:tabs>
                <w:tab w:pos="467" w:val="left" w:leader="none"/>
                <w:tab w:pos="468" w:val="left" w:leader="none"/>
              </w:tabs>
              <w:spacing w:line="240" w:lineRule="auto" w:before="0" w:after="0"/>
              <w:ind w:left="467" w:right="144" w:hanging="361"/>
              <w:jc w:val="left"/>
              <w:rPr>
                <w:sz w:val="22"/>
              </w:rPr>
            </w:pPr>
            <w:r>
              <w:rPr>
                <w:sz w:val="22"/>
              </w:rPr>
              <w:t>The Corporate Communications Team function via a capacity led demand model and the team also maintains a reactive capability to respond to emergency incidents. There has been a significant increase in the level of demand for internal communication associated with the force’s improvement programme following HMICFRS inspections. Current demand has required ongoing reprioritisation of work in order to meet high risk priorities, the planned uplift aligned to the transfer of Community Messenger to the Communication team has not taken place so regular re-prioritisation will need to continue in line with the force plan on a</w:t>
            </w:r>
            <w:r>
              <w:rPr>
                <w:spacing w:val="-5"/>
                <w:sz w:val="22"/>
              </w:rPr>
              <w:t> </w:t>
            </w:r>
            <w:r>
              <w:rPr>
                <w:sz w:val="22"/>
              </w:rPr>
              <w:t>page.</w:t>
            </w:r>
          </w:p>
          <w:p>
            <w:pPr>
              <w:pStyle w:val="TableParagraph"/>
              <w:numPr>
                <w:ilvl w:val="0"/>
                <w:numId w:val="54"/>
              </w:numPr>
              <w:tabs>
                <w:tab w:pos="467" w:val="left" w:leader="none"/>
                <w:tab w:pos="468" w:val="left" w:leader="none"/>
              </w:tabs>
              <w:spacing w:line="240" w:lineRule="auto" w:before="0" w:after="0"/>
              <w:ind w:left="467" w:right="145" w:hanging="361"/>
              <w:jc w:val="left"/>
              <w:rPr>
                <w:sz w:val="22"/>
              </w:rPr>
            </w:pPr>
            <w:r>
              <w:rPr>
                <w:sz w:val="22"/>
              </w:rPr>
              <w:t>Demand upon the Executive Support Team is determined by their capacity with a defined number of roles within the organisation allocated a specific amount of FTE of executive support service. In March 2023, the demand upon the Executive Support Team was increased as result of the organisations need to enhance the governance service by reducing self-service options and a number of new posts were approved to support this activity. These will need to be recruited and embedded in</w:t>
            </w:r>
            <w:r>
              <w:rPr>
                <w:spacing w:val="-9"/>
                <w:sz w:val="22"/>
              </w:rPr>
              <w:t> </w:t>
            </w:r>
            <w:r>
              <w:rPr>
                <w:sz w:val="22"/>
              </w:rPr>
              <w:t>2023.</w:t>
            </w:r>
          </w:p>
        </w:tc>
      </w:tr>
    </w:tbl>
    <w:p>
      <w:pPr>
        <w:pStyle w:val="BodyText"/>
        <w:spacing w:before="9"/>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0" w:hRule="atLeast"/>
        </w:trPr>
        <w:tc>
          <w:tcPr>
            <w:tcW w:w="9492" w:type="dxa"/>
            <w:gridSpan w:val="2"/>
            <w:shd w:val="clear" w:color="auto" w:fill="009CA2"/>
          </w:tcPr>
          <w:p>
            <w:pPr>
              <w:pStyle w:val="TableParagraph"/>
              <w:spacing w:line="320" w:lineRule="exact"/>
              <w:ind w:left="107"/>
              <w:rPr>
                <w:b/>
                <w:sz w:val="28"/>
              </w:rPr>
            </w:pPr>
            <w:r>
              <w:rPr>
                <w:b/>
                <w:color w:val="FFFFFF"/>
                <w:sz w:val="28"/>
              </w:rPr>
              <w:t>Chapter 12: Collaboration</w:t>
            </w:r>
          </w:p>
        </w:tc>
      </w:tr>
      <w:tr>
        <w:trPr>
          <w:trHeight w:val="268" w:hRule="atLeast"/>
        </w:trPr>
        <w:tc>
          <w:tcPr>
            <w:tcW w:w="1697" w:type="dxa"/>
            <w:shd w:val="clear" w:color="auto" w:fill="D9E1F3"/>
          </w:tcPr>
          <w:p>
            <w:pPr>
              <w:pStyle w:val="TableParagraph"/>
              <w:spacing w:line="248" w:lineRule="exact"/>
              <w:ind w:left="107"/>
              <w:rPr>
                <w:b/>
                <w:sz w:val="22"/>
              </w:rPr>
            </w:pPr>
            <w:r>
              <w:rPr>
                <w:b/>
                <w:sz w:val="22"/>
              </w:rPr>
              <w:t>Section</w:t>
            </w:r>
          </w:p>
        </w:tc>
        <w:tc>
          <w:tcPr>
            <w:tcW w:w="7795" w:type="dxa"/>
            <w:shd w:val="clear" w:color="auto" w:fill="D9E1F3"/>
          </w:tcPr>
          <w:p>
            <w:pPr>
              <w:pStyle w:val="TableParagraph"/>
              <w:spacing w:line="248" w:lineRule="exact"/>
              <w:ind w:left="107"/>
              <w:rPr>
                <w:b/>
                <w:sz w:val="22"/>
              </w:rPr>
            </w:pPr>
            <w:r>
              <w:rPr>
                <w:b/>
                <w:sz w:val="22"/>
              </w:rPr>
              <w:t>Executive Summary</w:t>
            </w:r>
          </w:p>
        </w:tc>
      </w:tr>
      <w:tr>
        <w:trPr>
          <w:trHeight w:val="2721" w:hRule="atLeast"/>
        </w:trPr>
        <w:tc>
          <w:tcPr>
            <w:tcW w:w="1697" w:type="dxa"/>
          </w:tcPr>
          <w:p>
            <w:pPr>
              <w:pStyle w:val="TableParagraph"/>
              <w:spacing w:line="268" w:lineRule="exact"/>
              <w:ind w:left="107"/>
              <w:rPr>
                <w:sz w:val="22"/>
              </w:rPr>
            </w:pPr>
            <w:r>
              <w:rPr>
                <w:sz w:val="22"/>
              </w:rPr>
              <w:t>12.</w:t>
            </w:r>
          </w:p>
          <w:p>
            <w:pPr>
              <w:pStyle w:val="TableParagraph"/>
              <w:ind w:left="107"/>
              <w:rPr>
                <w:sz w:val="22"/>
              </w:rPr>
            </w:pPr>
            <w:r>
              <w:rPr>
                <w:sz w:val="22"/>
              </w:rPr>
              <w:t>Collaboration</w:t>
            </w:r>
          </w:p>
          <w:p>
            <w:pPr>
              <w:pStyle w:val="TableParagraph"/>
              <w:spacing w:before="1"/>
              <w:rPr>
                <w:sz w:val="22"/>
              </w:rPr>
            </w:pPr>
          </w:p>
          <w:p>
            <w:pPr>
              <w:pStyle w:val="TableParagraph"/>
              <w:ind w:left="256"/>
              <w:rPr>
                <w:sz w:val="20"/>
              </w:rPr>
            </w:pPr>
            <w:r>
              <w:rPr>
                <w:sz w:val="20"/>
              </w:rPr>
              <w:drawing>
                <wp:inline distT="0" distB="0" distL="0" distR="0">
                  <wp:extent cx="678939" cy="678942"/>
                  <wp:effectExtent l="0" t="0" r="0" b="0"/>
                  <wp:docPr id="71" name="image28.png"/>
                  <wp:cNvGraphicFramePr>
                    <a:graphicFrameLocks noChangeAspect="1"/>
                  </wp:cNvGraphicFramePr>
                  <a:graphic>
                    <a:graphicData uri="http://schemas.openxmlformats.org/drawingml/2006/picture">
                      <pic:pic>
                        <pic:nvPicPr>
                          <pic:cNvPr id="72" name="image28.png"/>
                          <pic:cNvPicPr/>
                        </pic:nvPicPr>
                        <pic:blipFill>
                          <a:blip r:embed="rId35" cstate="print"/>
                          <a:stretch>
                            <a:fillRect/>
                          </a:stretch>
                        </pic:blipFill>
                        <pic:spPr>
                          <a:xfrm>
                            <a:off x="0" y="0"/>
                            <a:ext cx="678939" cy="678942"/>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spacing w:before="2"/>
              <w:rPr>
                <w:sz w:val="29"/>
              </w:rPr>
            </w:pPr>
          </w:p>
        </w:tc>
        <w:tc>
          <w:tcPr>
            <w:tcW w:w="7795" w:type="dxa"/>
          </w:tcPr>
          <w:p>
            <w:pPr>
              <w:pStyle w:val="TableParagraph"/>
              <w:numPr>
                <w:ilvl w:val="0"/>
                <w:numId w:val="55"/>
              </w:numPr>
              <w:tabs>
                <w:tab w:pos="467" w:val="left" w:leader="none"/>
                <w:tab w:pos="468" w:val="left" w:leader="none"/>
              </w:tabs>
              <w:spacing w:line="240" w:lineRule="auto" w:before="0" w:after="0"/>
              <w:ind w:left="467" w:right="184" w:hanging="360"/>
              <w:jc w:val="left"/>
              <w:rPr>
                <w:sz w:val="22"/>
              </w:rPr>
            </w:pPr>
            <w:r>
              <w:rPr>
                <w:sz w:val="22"/>
              </w:rPr>
              <w:t>YatH collaboration encompasses North Yorkshire Police, South Yorkshire Police, West Yorkshire Police and Humberside Police forces. This collaboration includes RSSS, ROCU, UWSU, Procurement as shared functions which are each provided under a Section 22A agreement with North Yorkshire Police in each case acting as the</w:t>
            </w:r>
            <w:r>
              <w:rPr>
                <w:spacing w:val="-3"/>
                <w:sz w:val="22"/>
              </w:rPr>
              <w:t> </w:t>
            </w:r>
            <w:r>
              <w:rPr>
                <w:sz w:val="22"/>
              </w:rPr>
              <w:t>client.</w:t>
            </w:r>
          </w:p>
          <w:p>
            <w:pPr>
              <w:pStyle w:val="TableParagraph"/>
              <w:numPr>
                <w:ilvl w:val="0"/>
                <w:numId w:val="55"/>
              </w:numPr>
              <w:tabs>
                <w:tab w:pos="467" w:val="left" w:leader="none"/>
                <w:tab w:pos="468" w:val="left" w:leader="none"/>
              </w:tabs>
              <w:spacing w:line="240" w:lineRule="auto" w:before="1" w:after="0"/>
              <w:ind w:left="467" w:right="128" w:hanging="361"/>
              <w:jc w:val="left"/>
              <w:rPr>
                <w:sz w:val="22"/>
              </w:rPr>
            </w:pPr>
            <w:r>
              <w:rPr>
                <w:sz w:val="22"/>
              </w:rPr>
              <w:t>Evolve is the collaborative arrangement for policing services for North Yorkshire, Durham and Cleveland and includes the Cold Case Review Unit and Evolve Collaborative Legal Services.</w:t>
            </w:r>
          </w:p>
          <w:p>
            <w:pPr>
              <w:pStyle w:val="TableParagraph"/>
              <w:numPr>
                <w:ilvl w:val="0"/>
                <w:numId w:val="55"/>
              </w:numPr>
              <w:tabs>
                <w:tab w:pos="467" w:val="left" w:leader="none"/>
                <w:tab w:pos="468" w:val="left" w:leader="none"/>
              </w:tabs>
              <w:spacing w:line="268" w:lineRule="exact" w:before="5" w:after="0"/>
              <w:ind w:left="467" w:right="470" w:hanging="360"/>
              <w:jc w:val="left"/>
              <w:rPr>
                <w:sz w:val="22"/>
              </w:rPr>
            </w:pPr>
            <w:r>
              <w:rPr>
                <w:sz w:val="22"/>
              </w:rPr>
              <w:t>EnableNY is the collaborative arrangement between North Yorkshire’s Police and Fire and Rescue Services launched in April 2019 under a Section</w:t>
            </w:r>
            <w:r>
              <w:rPr>
                <w:spacing w:val="-16"/>
                <w:sz w:val="22"/>
              </w:rPr>
              <w:t> </w:t>
            </w:r>
            <w:r>
              <w:rPr>
                <w:sz w:val="22"/>
              </w:rPr>
              <w:t>1</w:t>
            </w:r>
          </w:p>
        </w:tc>
      </w:tr>
    </w:tbl>
    <w:p>
      <w:pPr>
        <w:spacing w:after="0" w:line="268" w:lineRule="exact"/>
        <w:jc w:val="left"/>
        <w:rPr>
          <w:sz w:val="22"/>
        </w:rPr>
        <w:sectPr>
          <w:pgSz w:w="11910" w:h="16840"/>
          <w:pgMar w:header="0" w:footer="443" w:top="820" w:bottom="640" w:left="0" w:right="0"/>
        </w:sectPr>
      </w:pPr>
    </w:p>
    <w:tbl>
      <w:tblPr>
        <w:tblW w:w="0" w:type="auto"/>
        <w:jc w:val="left"/>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795"/>
      </w:tblGrid>
      <w:tr>
        <w:trPr>
          <w:trHeight w:val="3446" w:hRule="atLeast"/>
        </w:trPr>
        <w:tc>
          <w:tcPr>
            <w:tcW w:w="1697" w:type="dxa"/>
          </w:tcPr>
          <w:p>
            <w:pPr>
              <w:pStyle w:val="TableParagraph"/>
              <w:rPr>
                <w:rFonts w:ascii="Times New Roman"/>
                <w:sz w:val="18"/>
              </w:rPr>
            </w:pPr>
          </w:p>
        </w:tc>
        <w:tc>
          <w:tcPr>
            <w:tcW w:w="7795" w:type="dxa"/>
          </w:tcPr>
          <w:p>
            <w:pPr>
              <w:pStyle w:val="TableParagraph"/>
              <w:ind w:left="467" w:right="320"/>
              <w:rPr>
                <w:sz w:val="22"/>
              </w:rPr>
            </w:pPr>
            <w:r>
              <w:rPr>
                <w:sz w:val="22"/>
              </w:rPr>
              <w:t>Agreement under the Policing and Crime Act 2017 which brings together the support functions of North Yorkshire Police and North Yorkshire Fire &amp; Rescue Service to facilitate the provision of an efficient and effective service to the people of North Yorkshire that is exemplary in order to support of frontline officers, staff and firefighters.</w:t>
            </w:r>
          </w:p>
          <w:p>
            <w:pPr>
              <w:pStyle w:val="TableParagraph"/>
              <w:numPr>
                <w:ilvl w:val="0"/>
                <w:numId w:val="56"/>
              </w:numPr>
              <w:tabs>
                <w:tab w:pos="468" w:val="left" w:leader="none"/>
              </w:tabs>
              <w:spacing w:line="240" w:lineRule="auto" w:before="0" w:after="0"/>
              <w:ind w:left="467" w:right="304" w:hanging="361"/>
              <w:jc w:val="both"/>
              <w:rPr>
                <w:sz w:val="22"/>
              </w:rPr>
            </w:pPr>
            <w:r>
              <w:rPr>
                <w:sz w:val="22"/>
              </w:rPr>
              <w:t>Recent HMICFRS inspections identified challenges in the way our collaborated enabling services had been provided and over the last year we have embarked on an ambitious improvement journey to ensure these functions are providing efficient and effective support to operational</w:t>
            </w:r>
            <w:r>
              <w:rPr>
                <w:spacing w:val="-9"/>
                <w:sz w:val="22"/>
              </w:rPr>
              <w:t> </w:t>
            </w:r>
            <w:r>
              <w:rPr>
                <w:sz w:val="22"/>
              </w:rPr>
              <w:t>colleagues.</w:t>
            </w:r>
          </w:p>
          <w:p>
            <w:pPr>
              <w:pStyle w:val="TableParagraph"/>
              <w:numPr>
                <w:ilvl w:val="0"/>
                <w:numId w:val="56"/>
              </w:numPr>
              <w:tabs>
                <w:tab w:pos="467" w:val="left" w:leader="none"/>
                <w:tab w:pos="468" w:val="left" w:leader="none"/>
              </w:tabs>
              <w:spacing w:line="240" w:lineRule="auto" w:before="0" w:after="0"/>
              <w:ind w:left="467" w:right="112" w:hanging="361"/>
              <w:jc w:val="left"/>
              <w:rPr>
                <w:sz w:val="22"/>
              </w:rPr>
            </w:pPr>
            <w:r>
              <w:rPr>
                <w:sz w:val="22"/>
              </w:rPr>
              <w:t>We will need to consider how we arrive at an optimum model for supporting</w:t>
            </w:r>
            <w:r>
              <w:rPr>
                <w:spacing w:val="-31"/>
                <w:sz w:val="22"/>
              </w:rPr>
              <w:t> </w:t>
            </w:r>
            <w:r>
              <w:rPr>
                <w:sz w:val="22"/>
              </w:rPr>
              <w:t>the anticipated future devolved Mayoralty as it assumes responsibility as both the elected Local Policing Body and the Fire</w:t>
            </w:r>
            <w:r>
              <w:rPr>
                <w:spacing w:val="-9"/>
                <w:sz w:val="22"/>
              </w:rPr>
              <w:t> </w:t>
            </w:r>
            <w:r>
              <w:rPr>
                <w:sz w:val="22"/>
              </w:rPr>
              <w:t>Authority.</w:t>
            </w:r>
          </w:p>
        </w:tc>
      </w:tr>
    </w:tbl>
    <w:p>
      <w:pPr>
        <w:pStyle w:val="BodyText"/>
        <w:rPr>
          <w:sz w:val="20"/>
        </w:rPr>
      </w:pPr>
    </w:p>
    <w:p>
      <w:pPr>
        <w:pStyle w:val="BodyText"/>
        <w:spacing w:before="11"/>
        <w:rPr>
          <w:sz w:val="20"/>
        </w:rPr>
      </w:pPr>
    </w:p>
    <w:p>
      <w:pPr>
        <w:pStyle w:val="Heading3"/>
        <w:spacing w:before="44"/>
      </w:pPr>
      <w:r>
        <w:rPr/>
        <w:t>Part 2: Strategic Risk Assessment.</w:t>
      </w:r>
    </w:p>
    <w:p>
      <w:pPr>
        <w:pStyle w:val="BodyText"/>
        <w:spacing w:before="5"/>
        <w:rPr>
          <w:b/>
          <w:sz w:val="21"/>
        </w:rPr>
      </w:pPr>
      <w:r>
        <w:rPr/>
        <w:pict>
          <v:shape style="position:absolute;margin-left:66.75pt;margin-top:16.545195pt;width:471pt;height:.1pt;mso-position-horizontal-relative:page;mso-position-vertical-relative:paragraph;z-index:-251585536;mso-wrap-distance-left:0;mso-wrap-distance-right:0" coordorigin="1335,331" coordsize="9420,0" path="m1335,331l10755,331e" filled="false" stroked="true" strokeweight="3pt" strokecolor="#1771b8">
            <v:path arrowok="t"/>
            <v:stroke dashstyle="solid"/>
            <w10:wrap type="topAndBottom"/>
          </v:shape>
        </w:pict>
      </w:r>
    </w:p>
    <w:p>
      <w:pPr>
        <w:pStyle w:val="BodyText"/>
        <w:spacing w:before="2"/>
        <w:rPr>
          <w:b/>
          <w:sz w:val="24"/>
        </w:rPr>
      </w:pPr>
    </w:p>
    <w:p>
      <w:pPr>
        <w:pStyle w:val="BodyText"/>
        <w:ind w:left="1298" w:right="1671"/>
      </w:pPr>
      <w:r>
        <w:rPr/>
        <w:t>Each section of each FMS chapter has had a level of risk assessed based upon the model below. This assessment considered the following:</w:t>
      </w:r>
    </w:p>
    <w:p>
      <w:pPr>
        <w:pStyle w:val="ListParagraph"/>
        <w:numPr>
          <w:ilvl w:val="0"/>
          <w:numId w:val="57"/>
        </w:numPr>
        <w:tabs>
          <w:tab w:pos="1799" w:val="left" w:leader="none"/>
          <w:tab w:pos="1801" w:val="left" w:leader="none"/>
        </w:tabs>
        <w:spacing w:line="240" w:lineRule="auto" w:before="0" w:after="0"/>
        <w:ind w:left="1800" w:right="1711" w:hanging="361"/>
        <w:jc w:val="left"/>
        <w:rPr>
          <w:sz w:val="22"/>
        </w:rPr>
      </w:pPr>
      <w:r>
        <w:rPr>
          <w:sz w:val="22"/>
        </w:rPr>
        <w:t>current demand which has been assessed by evaluating the demand we are experiencing now compared with what we expected in</w:t>
      </w:r>
      <w:r>
        <w:rPr>
          <w:spacing w:val="-5"/>
          <w:sz w:val="22"/>
        </w:rPr>
        <w:t> </w:t>
      </w:r>
      <w:r>
        <w:rPr>
          <w:sz w:val="22"/>
        </w:rPr>
        <w:t>FMS4.</w:t>
      </w:r>
    </w:p>
    <w:p>
      <w:pPr>
        <w:pStyle w:val="ListParagraph"/>
        <w:numPr>
          <w:ilvl w:val="0"/>
          <w:numId w:val="57"/>
        </w:numPr>
        <w:tabs>
          <w:tab w:pos="1800" w:val="left" w:leader="none"/>
          <w:tab w:pos="1801" w:val="left" w:leader="none"/>
        </w:tabs>
        <w:spacing w:line="240" w:lineRule="auto" w:before="0" w:after="0"/>
        <w:ind w:left="1800" w:right="1123" w:hanging="361"/>
        <w:jc w:val="left"/>
        <w:rPr>
          <w:sz w:val="22"/>
        </w:rPr>
      </w:pPr>
      <w:r>
        <w:rPr>
          <w:sz w:val="22"/>
        </w:rPr>
        <w:t>future demand which is assessed based upon the demand we have forecast in Step 1 of FMS5, this is a combination of analytical forecast, environmental scanning and supported by professional judgement from subject matter</w:t>
      </w:r>
      <w:r>
        <w:rPr>
          <w:spacing w:val="-7"/>
          <w:sz w:val="22"/>
        </w:rPr>
        <w:t> </w:t>
      </w:r>
      <w:r>
        <w:rPr>
          <w:sz w:val="22"/>
        </w:rPr>
        <w:t>experts.</w:t>
      </w:r>
    </w:p>
    <w:p>
      <w:pPr>
        <w:pStyle w:val="ListParagraph"/>
        <w:numPr>
          <w:ilvl w:val="0"/>
          <w:numId w:val="57"/>
        </w:numPr>
        <w:tabs>
          <w:tab w:pos="1800" w:val="left" w:leader="none"/>
          <w:tab w:pos="1801" w:val="left" w:leader="none"/>
        </w:tabs>
        <w:spacing w:line="240" w:lineRule="auto" w:before="0" w:after="0"/>
        <w:ind w:left="1800" w:right="1315" w:hanging="361"/>
        <w:jc w:val="left"/>
        <w:rPr>
          <w:sz w:val="22"/>
        </w:rPr>
      </w:pPr>
      <w:r>
        <w:rPr>
          <w:sz w:val="22"/>
        </w:rPr>
        <w:t>where applicable, the most recent MoRiLE assessment (2020/21) has been included to determine the level of harm for each area. Within the risk assessment table we have also included the overall MoRiLE score for the relevant sections.</w:t>
      </w:r>
    </w:p>
    <w:p>
      <w:pPr>
        <w:pStyle w:val="ListParagraph"/>
        <w:numPr>
          <w:ilvl w:val="0"/>
          <w:numId w:val="57"/>
        </w:numPr>
        <w:tabs>
          <w:tab w:pos="1800" w:val="left" w:leader="none"/>
          <w:tab w:pos="1801" w:val="left" w:leader="none"/>
        </w:tabs>
        <w:spacing w:line="240" w:lineRule="auto" w:before="0" w:after="0"/>
        <w:ind w:left="1800" w:right="1380" w:hanging="361"/>
        <w:jc w:val="left"/>
        <w:rPr>
          <w:sz w:val="22"/>
        </w:rPr>
      </w:pPr>
      <w:r>
        <w:rPr>
          <w:sz w:val="22"/>
        </w:rPr>
        <w:t>capacity and capability are both assessed by determining whether there is sufficient capacity or capability in place now and, if not, if there is a plan in place to address this e.g. those areas of highest risk in this category will be those where we do not have capacity / capability and have not plan or funding to address</w:t>
      </w:r>
      <w:r>
        <w:rPr>
          <w:spacing w:val="-4"/>
          <w:sz w:val="22"/>
        </w:rPr>
        <w:t> </w:t>
      </w:r>
      <w:r>
        <w:rPr>
          <w:sz w:val="22"/>
        </w:rPr>
        <w:t>it.</w:t>
      </w:r>
    </w:p>
    <w:p>
      <w:pPr>
        <w:pStyle w:val="BodyText"/>
        <w:spacing w:before="5"/>
        <w:rPr>
          <w:sz w:val="16"/>
        </w:rPr>
      </w:pPr>
    </w:p>
    <w:tbl>
      <w:tblPr>
        <w:tblW w:w="0" w:type="auto"/>
        <w:jc w:val="left"/>
        <w:tblInd w:w="1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8"/>
        <w:gridCol w:w="1481"/>
        <w:gridCol w:w="1212"/>
        <w:gridCol w:w="2324"/>
        <w:gridCol w:w="2168"/>
      </w:tblGrid>
      <w:tr>
        <w:trPr>
          <w:trHeight w:val="364" w:hRule="atLeast"/>
        </w:trPr>
        <w:tc>
          <w:tcPr>
            <w:tcW w:w="1828" w:type="dxa"/>
            <w:shd w:val="clear" w:color="auto" w:fill="F1F1F1"/>
          </w:tcPr>
          <w:p>
            <w:pPr>
              <w:pStyle w:val="TableParagraph"/>
              <w:rPr>
                <w:sz w:val="15"/>
              </w:rPr>
            </w:pPr>
          </w:p>
          <w:p>
            <w:pPr>
              <w:pStyle w:val="TableParagraph"/>
              <w:spacing w:line="161" w:lineRule="exact"/>
              <w:ind w:left="23"/>
              <w:rPr>
                <w:b/>
                <w:sz w:val="14"/>
              </w:rPr>
            </w:pPr>
            <w:r>
              <w:rPr>
                <w:b/>
                <w:sz w:val="14"/>
              </w:rPr>
              <w:t>Current Demand</w:t>
            </w:r>
          </w:p>
        </w:tc>
        <w:tc>
          <w:tcPr>
            <w:tcW w:w="1481" w:type="dxa"/>
            <w:shd w:val="clear" w:color="auto" w:fill="F1F1F1"/>
          </w:tcPr>
          <w:p>
            <w:pPr>
              <w:pStyle w:val="TableParagraph"/>
              <w:spacing w:line="170" w:lineRule="exact"/>
              <w:ind w:left="23"/>
              <w:rPr>
                <w:b/>
                <w:sz w:val="14"/>
              </w:rPr>
            </w:pPr>
            <w:r>
              <w:rPr>
                <w:b/>
                <w:sz w:val="14"/>
              </w:rPr>
              <w:t>Predicted Demand</w:t>
            </w:r>
          </w:p>
          <w:p>
            <w:pPr>
              <w:pStyle w:val="TableParagraph"/>
              <w:spacing w:line="161" w:lineRule="exact" w:before="13"/>
              <w:ind w:left="23"/>
              <w:rPr>
                <w:b/>
                <w:sz w:val="14"/>
              </w:rPr>
            </w:pPr>
            <w:r>
              <w:rPr>
                <w:b/>
                <w:sz w:val="14"/>
              </w:rPr>
              <w:t>(4 years)</w:t>
            </w:r>
          </w:p>
        </w:tc>
        <w:tc>
          <w:tcPr>
            <w:tcW w:w="1212" w:type="dxa"/>
            <w:shd w:val="clear" w:color="auto" w:fill="F1F1F1"/>
          </w:tcPr>
          <w:p>
            <w:pPr>
              <w:pStyle w:val="TableParagraph"/>
              <w:spacing w:line="170" w:lineRule="exact"/>
              <w:ind w:left="22"/>
              <w:rPr>
                <w:b/>
                <w:sz w:val="14"/>
              </w:rPr>
            </w:pPr>
            <w:r>
              <w:rPr>
                <w:b/>
                <w:sz w:val="14"/>
              </w:rPr>
              <w:t>Harm</w:t>
            </w:r>
          </w:p>
          <w:p>
            <w:pPr>
              <w:pStyle w:val="TableParagraph"/>
              <w:spacing w:line="161" w:lineRule="exact" w:before="13"/>
              <w:ind w:left="22"/>
              <w:rPr>
                <w:b/>
                <w:sz w:val="14"/>
              </w:rPr>
            </w:pPr>
            <w:r>
              <w:rPr>
                <w:b/>
                <w:sz w:val="14"/>
              </w:rPr>
              <w:t>(MoRiLE)</w:t>
            </w:r>
          </w:p>
        </w:tc>
        <w:tc>
          <w:tcPr>
            <w:tcW w:w="2324" w:type="dxa"/>
            <w:shd w:val="clear" w:color="auto" w:fill="F1F1F1"/>
          </w:tcPr>
          <w:p>
            <w:pPr>
              <w:pStyle w:val="TableParagraph"/>
              <w:rPr>
                <w:sz w:val="15"/>
              </w:rPr>
            </w:pPr>
          </w:p>
          <w:p>
            <w:pPr>
              <w:pStyle w:val="TableParagraph"/>
              <w:spacing w:line="161" w:lineRule="exact"/>
              <w:ind w:left="22"/>
              <w:rPr>
                <w:b/>
                <w:sz w:val="14"/>
              </w:rPr>
            </w:pPr>
            <w:r>
              <w:rPr>
                <w:b/>
                <w:sz w:val="14"/>
              </w:rPr>
              <w:t>Capacity</w:t>
            </w:r>
          </w:p>
        </w:tc>
        <w:tc>
          <w:tcPr>
            <w:tcW w:w="2168" w:type="dxa"/>
            <w:shd w:val="clear" w:color="auto" w:fill="F1F1F1"/>
          </w:tcPr>
          <w:p>
            <w:pPr>
              <w:pStyle w:val="TableParagraph"/>
              <w:rPr>
                <w:sz w:val="15"/>
              </w:rPr>
            </w:pPr>
          </w:p>
          <w:p>
            <w:pPr>
              <w:pStyle w:val="TableParagraph"/>
              <w:spacing w:line="161" w:lineRule="exact"/>
              <w:ind w:left="22"/>
              <w:rPr>
                <w:b/>
                <w:sz w:val="14"/>
              </w:rPr>
            </w:pPr>
            <w:r>
              <w:rPr>
                <w:b/>
                <w:sz w:val="14"/>
              </w:rPr>
              <w:t>Capability</w:t>
            </w:r>
          </w:p>
        </w:tc>
      </w:tr>
      <w:tr>
        <w:trPr>
          <w:trHeight w:val="541" w:hRule="atLeast"/>
        </w:trPr>
        <w:tc>
          <w:tcPr>
            <w:tcW w:w="1828" w:type="dxa"/>
            <w:shd w:val="clear" w:color="auto" w:fill="92D050"/>
          </w:tcPr>
          <w:p>
            <w:pPr>
              <w:pStyle w:val="TableParagraph"/>
              <w:spacing w:line="259" w:lineRule="auto" w:before="6"/>
              <w:ind w:left="23"/>
              <w:rPr>
                <w:sz w:val="14"/>
              </w:rPr>
            </w:pPr>
            <w:r>
              <w:rPr>
                <w:sz w:val="14"/>
              </w:rPr>
              <w:t>Minor fluctuations / small volumes in the demand</w:t>
            </w:r>
          </w:p>
          <w:p>
            <w:pPr>
              <w:pStyle w:val="TableParagraph"/>
              <w:spacing w:line="146" w:lineRule="exact"/>
              <w:ind w:left="23"/>
              <w:rPr>
                <w:sz w:val="14"/>
              </w:rPr>
            </w:pPr>
            <w:r>
              <w:rPr>
                <w:sz w:val="14"/>
              </w:rPr>
              <w:t>expected in FMS4</w:t>
            </w:r>
          </w:p>
        </w:tc>
        <w:tc>
          <w:tcPr>
            <w:tcW w:w="1481" w:type="dxa"/>
            <w:shd w:val="clear" w:color="auto" w:fill="92D050"/>
          </w:tcPr>
          <w:p>
            <w:pPr>
              <w:pStyle w:val="TableParagraph"/>
              <w:spacing w:before="6"/>
              <w:ind w:left="23"/>
              <w:rPr>
                <w:sz w:val="14"/>
              </w:rPr>
            </w:pPr>
            <w:r>
              <w:rPr>
                <w:sz w:val="14"/>
              </w:rPr>
              <w:t>Downward trend</w:t>
            </w:r>
          </w:p>
        </w:tc>
        <w:tc>
          <w:tcPr>
            <w:tcW w:w="1212" w:type="dxa"/>
            <w:shd w:val="clear" w:color="auto" w:fill="92D050"/>
          </w:tcPr>
          <w:p>
            <w:pPr>
              <w:pStyle w:val="TableParagraph"/>
              <w:spacing w:before="6"/>
              <w:ind w:left="22"/>
              <w:rPr>
                <w:sz w:val="14"/>
              </w:rPr>
            </w:pPr>
            <w:r>
              <w:rPr>
                <w:sz w:val="14"/>
              </w:rPr>
              <w:t>Low Score</w:t>
            </w:r>
          </w:p>
          <w:p>
            <w:pPr>
              <w:pStyle w:val="TableParagraph"/>
              <w:spacing w:before="13"/>
              <w:ind w:left="22"/>
              <w:rPr>
                <w:sz w:val="14"/>
              </w:rPr>
            </w:pPr>
            <w:r>
              <w:rPr>
                <w:sz w:val="14"/>
              </w:rPr>
              <w:t>(1-2.5 MoRiLE)</w:t>
            </w:r>
          </w:p>
        </w:tc>
        <w:tc>
          <w:tcPr>
            <w:tcW w:w="2324" w:type="dxa"/>
            <w:shd w:val="clear" w:color="auto" w:fill="92D050"/>
          </w:tcPr>
          <w:p>
            <w:pPr>
              <w:pStyle w:val="TableParagraph"/>
              <w:spacing w:before="6"/>
              <w:ind w:left="22"/>
              <w:rPr>
                <w:sz w:val="14"/>
              </w:rPr>
            </w:pPr>
            <w:r>
              <w:rPr>
                <w:sz w:val="14"/>
              </w:rPr>
              <w:t>Sufficient capacity or minimal gaps</w:t>
            </w:r>
          </w:p>
        </w:tc>
        <w:tc>
          <w:tcPr>
            <w:tcW w:w="2168" w:type="dxa"/>
            <w:shd w:val="clear" w:color="auto" w:fill="92D050"/>
          </w:tcPr>
          <w:p>
            <w:pPr>
              <w:pStyle w:val="TableParagraph"/>
              <w:spacing w:line="259" w:lineRule="auto" w:before="6"/>
              <w:ind w:left="22" w:right="132"/>
              <w:rPr>
                <w:sz w:val="14"/>
              </w:rPr>
            </w:pPr>
            <w:r>
              <w:rPr>
                <w:sz w:val="14"/>
              </w:rPr>
              <w:t>Sufficient capability or minimal gaps</w:t>
            </w:r>
          </w:p>
        </w:tc>
      </w:tr>
      <w:tr>
        <w:trPr>
          <w:trHeight w:val="541" w:hRule="atLeast"/>
        </w:trPr>
        <w:tc>
          <w:tcPr>
            <w:tcW w:w="1828" w:type="dxa"/>
            <w:shd w:val="clear" w:color="auto" w:fill="FFFF00"/>
          </w:tcPr>
          <w:p>
            <w:pPr>
              <w:pStyle w:val="TableParagraph"/>
              <w:spacing w:line="259" w:lineRule="auto" w:before="6"/>
              <w:ind w:left="23"/>
              <w:rPr>
                <w:sz w:val="14"/>
              </w:rPr>
            </w:pPr>
            <w:r>
              <w:rPr>
                <w:sz w:val="14"/>
              </w:rPr>
              <w:t>Moderate fluctuations in the demand expected in FMS4</w:t>
            </w:r>
          </w:p>
        </w:tc>
        <w:tc>
          <w:tcPr>
            <w:tcW w:w="1481" w:type="dxa"/>
            <w:shd w:val="clear" w:color="auto" w:fill="FFFF00"/>
          </w:tcPr>
          <w:p>
            <w:pPr>
              <w:pStyle w:val="TableParagraph"/>
              <w:spacing w:before="6"/>
              <w:ind w:left="23"/>
              <w:rPr>
                <w:sz w:val="14"/>
              </w:rPr>
            </w:pPr>
            <w:r>
              <w:rPr>
                <w:sz w:val="14"/>
              </w:rPr>
              <w:t>Stable</w:t>
            </w:r>
          </w:p>
        </w:tc>
        <w:tc>
          <w:tcPr>
            <w:tcW w:w="1212" w:type="dxa"/>
            <w:shd w:val="clear" w:color="auto" w:fill="FFFF00"/>
          </w:tcPr>
          <w:p>
            <w:pPr>
              <w:pStyle w:val="TableParagraph"/>
              <w:spacing w:line="259" w:lineRule="auto" w:before="6"/>
              <w:ind w:left="22" w:right="234"/>
              <w:rPr>
                <w:sz w:val="14"/>
              </w:rPr>
            </w:pPr>
            <w:r>
              <w:rPr>
                <w:sz w:val="14"/>
              </w:rPr>
              <w:t>Moderate Score (3-5 MoRiLE)</w:t>
            </w:r>
          </w:p>
        </w:tc>
        <w:tc>
          <w:tcPr>
            <w:tcW w:w="2324" w:type="dxa"/>
            <w:shd w:val="clear" w:color="auto" w:fill="FFFF00"/>
          </w:tcPr>
          <w:p>
            <w:pPr>
              <w:pStyle w:val="TableParagraph"/>
              <w:spacing w:before="6"/>
              <w:ind w:left="22"/>
              <w:rPr>
                <w:sz w:val="14"/>
              </w:rPr>
            </w:pPr>
            <w:r>
              <w:rPr>
                <w:sz w:val="14"/>
              </w:rPr>
              <w:t>Resourcing issues have a limited</w:t>
            </w:r>
          </w:p>
          <w:p>
            <w:pPr>
              <w:pStyle w:val="TableParagraph"/>
              <w:spacing w:line="180" w:lineRule="atLeast" w:before="4"/>
              <w:ind w:left="22" w:right="77"/>
              <w:rPr>
                <w:sz w:val="14"/>
              </w:rPr>
            </w:pPr>
            <w:r>
              <w:rPr>
                <w:sz w:val="14"/>
              </w:rPr>
              <w:t>impact on the management of the issue</w:t>
            </w:r>
          </w:p>
        </w:tc>
        <w:tc>
          <w:tcPr>
            <w:tcW w:w="2168" w:type="dxa"/>
            <w:shd w:val="clear" w:color="auto" w:fill="FFFF00"/>
          </w:tcPr>
          <w:p>
            <w:pPr>
              <w:pStyle w:val="TableParagraph"/>
              <w:spacing w:before="6"/>
              <w:ind w:left="22"/>
              <w:rPr>
                <w:sz w:val="14"/>
              </w:rPr>
            </w:pPr>
            <w:r>
              <w:rPr>
                <w:sz w:val="14"/>
              </w:rPr>
              <w:t>Skills/assets gaps have limited</w:t>
            </w:r>
          </w:p>
          <w:p>
            <w:pPr>
              <w:pStyle w:val="TableParagraph"/>
              <w:spacing w:line="180" w:lineRule="atLeast" w:before="4"/>
              <w:ind w:left="22"/>
              <w:rPr>
                <w:sz w:val="14"/>
              </w:rPr>
            </w:pPr>
            <w:r>
              <w:rPr>
                <w:sz w:val="14"/>
              </w:rPr>
              <w:t>impact on the management of the issue</w:t>
            </w:r>
          </w:p>
        </w:tc>
      </w:tr>
      <w:tr>
        <w:trPr>
          <w:trHeight w:val="548" w:hRule="atLeast"/>
        </w:trPr>
        <w:tc>
          <w:tcPr>
            <w:tcW w:w="1828" w:type="dxa"/>
            <w:shd w:val="clear" w:color="auto" w:fill="FFC000"/>
          </w:tcPr>
          <w:p>
            <w:pPr>
              <w:pStyle w:val="TableParagraph"/>
              <w:spacing w:line="259" w:lineRule="auto" w:before="6"/>
              <w:ind w:left="23"/>
              <w:rPr>
                <w:sz w:val="14"/>
              </w:rPr>
            </w:pPr>
            <w:r>
              <w:rPr>
                <w:sz w:val="14"/>
              </w:rPr>
              <w:t>Large volume in the demand expected in FMS4</w:t>
            </w:r>
          </w:p>
        </w:tc>
        <w:tc>
          <w:tcPr>
            <w:tcW w:w="1481" w:type="dxa"/>
            <w:shd w:val="clear" w:color="auto" w:fill="FFC000"/>
          </w:tcPr>
          <w:p>
            <w:pPr>
              <w:pStyle w:val="TableParagraph"/>
              <w:spacing w:before="6"/>
              <w:ind w:left="23"/>
              <w:rPr>
                <w:sz w:val="14"/>
              </w:rPr>
            </w:pPr>
            <w:r>
              <w:rPr>
                <w:sz w:val="14"/>
              </w:rPr>
              <w:t>Less than 10% increase</w:t>
            </w:r>
          </w:p>
        </w:tc>
        <w:tc>
          <w:tcPr>
            <w:tcW w:w="1212" w:type="dxa"/>
            <w:shd w:val="clear" w:color="auto" w:fill="FFC000"/>
          </w:tcPr>
          <w:p>
            <w:pPr>
              <w:pStyle w:val="TableParagraph"/>
              <w:spacing w:line="259" w:lineRule="auto" w:before="6"/>
              <w:ind w:left="22" w:right="157"/>
              <w:rPr>
                <w:sz w:val="14"/>
              </w:rPr>
            </w:pPr>
            <w:r>
              <w:rPr>
                <w:sz w:val="14"/>
              </w:rPr>
              <w:t>Substantial Score (5.5-7 MoRiLE)</w:t>
            </w:r>
          </w:p>
        </w:tc>
        <w:tc>
          <w:tcPr>
            <w:tcW w:w="2324" w:type="dxa"/>
            <w:shd w:val="clear" w:color="auto" w:fill="FFC000"/>
          </w:tcPr>
          <w:p>
            <w:pPr>
              <w:pStyle w:val="TableParagraph"/>
              <w:spacing w:line="259" w:lineRule="auto" w:before="6"/>
              <w:ind w:left="22" w:right="77"/>
              <w:rPr>
                <w:sz w:val="14"/>
              </w:rPr>
            </w:pPr>
            <w:r>
              <w:rPr>
                <w:sz w:val="14"/>
              </w:rPr>
              <w:t>Resourcing issues impeded management of the issue</w:t>
            </w:r>
          </w:p>
        </w:tc>
        <w:tc>
          <w:tcPr>
            <w:tcW w:w="2168" w:type="dxa"/>
            <w:shd w:val="clear" w:color="auto" w:fill="FFC000"/>
          </w:tcPr>
          <w:p>
            <w:pPr>
              <w:pStyle w:val="TableParagraph"/>
              <w:spacing w:line="259" w:lineRule="auto" w:before="6"/>
              <w:ind w:left="22"/>
              <w:rPr>
                <w:sz w:val="14"/>
              </w:rPr>
            </w:pPr>
            <w:r>
              <w:rPr>
                <w:sz w:val="14"/>
              </w:rPr>
              <w:t>Skills/assets gaps impeded the management of the issue</w:t>
            </w:r>
          </w:p>
        </w:tc>
      </w:tr>
      <w:tr>
        <w:trPr>
          <w:trHeight w:val="548" w:hRule="atLeast"/>
        </w:trPr>
        <w:tc>
          <w:tcPr>
            <w:tcW w:w="1828" w:type="dxa"/>
            <w:shd w:val="clear" w:color="auto" w:fill="FF0000"/>
          </w:tcPr>
          <w:p>
            <w:pPr>
              <w:pStyle w:val="TableParagraph"/>
              <w:spacing w:line="259" w:lineRule="auto" w:before="6"/>
              <w:ind w:left="23"/>
              <w:rPr>
                <w:sz w:val="14"/>
              </w:rPr>
            </w:pPr>
            <w:r>
              <w:rPr>
                <w:sz w:val="14"/>
              </w:rPr>
              <w:t>Very large volume in the demand expected in FMS4</w:t>
            </w:r>
          </w:p>
        </w:tc>
        <w:tc>
          <w:tcPr>
            <w:tcW w:w="1481" w:type="dxa"/>
            <w:shd w:val="clear" w:color="auto" w:fill="FF0000"/>
          </w:tcPr>
          <w:p>
            <w:pPr>
              <w:pStyle w:val="TableParagraph"/>
              <w:spacing w:before="6"/>
              <w:ind w:left="23"/>
              <w:rPr>
                <w:sz w:val="14"/>
              </w:rPr>
            </w:pPr>
            <w:r>
              <w:rPr>
                <w:sz w:val="14"/>
              </w:rPr>
              <w:t>More than 10% increase</w:t>
            </w:r>
          </w:p>
        </w:tc>
        <w:tc>
          <w:tcPr>
            <w:tcW w:w="1212" w:type="dxa"/>
            <w:shd w:val="clear" w:color="auto" w:fill="FF0000"/>
          </w:tcPr>
          <w:p>
            <w:pPr>
              <w:pStyle w:val="TableParagraph"/>
              <w:spacing w:line="259" w:lineRule="auto" w:before="6"/>
              <w:ind w:left="22" w:right="127"/>
              <w:rPr>
                <w:sz w:val="14"/>
              </w:rPr>
            </w:pPr>
            <w:r>
              <w:rPr>
                <w:sz w:val="14"/>
              </w:rPr>
              <w:t>Severe Score (Over 7.5</w:t>
            </w:r>
            <w:r>
              <w:rPr>
                <w:spacing w:val="12"/>
                <w:sz w:val="14"/>
              </w:rPr>
              <w:t> </w:t>
            </w:r>
            <w:r>
              <w:rPr>
                <w:sz w:val="14"/>
              </w:rPr>
              <w:t>MoRiLE)</w:t>
            </w:r>
          </w:p>
        </w:tc>
        <w:tc>
          <w:tcPr>
            <w:tcW w:w="2324" w:type="dxa"/>
            <w:shd w:val="clear" w:color="auto" w:fill="FF0000"/>
          </w:tcPr>
          <w:p>
            <w:pPr>
              <w:pStyle w:val="TableParagraph"/>
              <w:spacing w:line="259" w:lineRule="auto" w:before="6"/>
              <w:ind w:left="22"/>
              <w:rPr>
                <w:sz w:val="14"/>
              </w:rPr>
            </w:pPr>
            <w:r>
              <w:rPr>
                <w:sz w:val="14"/>
              </w:rPr>
              <w:t>Do not have the resources in place or funded</w:t>
            </w:r>
          </w:p>
        </w:tc>
        <w:tc>
          <w:tcPr>
            <w:tcW w:w="2168" w:type="dxa"/>
            <w:shd w:val="clear" w:color="auto" w:fill="FF0000"/>
          </w:tcPr>
          <w:p>
            <w:pPr>
              <w:pStyle w:val="TableParagraph"/>
              <w:spacing w:before="6"/>
              <w:ind w:left="22"/>
              <w:rPr>
                <w:sz w:val="14"/>
              </w:rPr>
            </w:pPr>
            <w:r>
              <w:rPr>
                <w:sz w:val="14"/>
              </w:rPr>
              <w:t>Do not have the skills/assets</w:t>
            </w:r>
          </w:p>
        </w:tc>
      </w:tr>
    </w:tbl>
    <w:p>
      <w:pPr>
        <w:pStyle w:val="BodyText"/>
        <w:spacing w:before="7"/>
        <w:rPr>
          <w:sz w:val="28"/>
        </w:rPr>
      </w:pPr>
    </w:p>
    <w:p>
      <w:pPr>
        <w:pStyle w:val="BodyText"/>
        <w:ind w:left="1297" w:right="1299"/>
        <w:jc w:val="both"/>
      </w:pPr>
      <w:r>
        <w:rPr/>
        <w:t>The table on the following page breaks down each chapter by section and illustrates the risk assessment in each case. An overall risk score has been determined using current demand, future demand, capacity and capability.</w:t>
      </w:r>
    </w:p>
    <w:p>
      <w:pPr>
        <w:spacing w:after="0"/>
        <w:jc w:val="both"/>
        <w:sectPr>
          <w:pgSz w:w="11910" w:h="16840"/>
          <w:pgMar w:header="0" w:footer="443" w:top="820" w:bottom="720" w:left="0" w:right="0"/>
        </w:sectPr>
      </w:pPr>
    </w:p>
    <w:tbl>
      <w:tblPr>
        <w:tblW w:w="0" w:type="auto"/>
        <w:jc w:val="left"/>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3"/>
        <w:gridCol w:w="2048"/>
        <w:gridCol w:w="2152"/>
        <w:gridCol w:w="640"/>
        <w:gridCol w:w="640"/>
        <w:gridCol w:w="640"/>
        <w:gridCol w:w="640"/>
        <w:gridCol w:w="675"/>
        <w:gridCol w:w="705"/>
      </w:tblGrid>
      <w:tr>
        <w:trPr>
          <w:trHeight w:val="620" w:hRule="atLeast"/>
        </w:trPr>
        <w:tc>
          <w:tcPr>
            <w:tcW w:w="9583" w:type="dxa"/>
            <w:gridSpan w:val="9"/>
            <w:tcBorders>
              <w:right w:val="single" w:sz="8" w:space="0" w:color="000000"/>
            </w:tcBorders>
            <w:shd w:val="clear" w:color="auto" w:fill="1F3763"/>
          </w:tcPr>
          <w:p>
            <w:pPr>
              <w:pStyle w:val="TableParagraph"/>
              <w:spacing w:before="1"/>
              <w:rPr>
                <w:sz w:val="17"/>
              </w:rPr>
            </w:pPr>
          </w:p>
          <w:p>
            <w:pPr>
              <w:pStyle w:val="TableParagraph"/>
              <w:spacing w:before="1"/>
              <w:ind w:left="3983" w:right="3971"/>
              <w:jc w:val="center"/>
              <w:rPr>
                <w:b/>
                <w:sz w:val="16"/>
              </w:rPr>
            </w:pPr>
            <w:r>
              <w:rPr>
                <w:b/>
                <w:color w:val="FFFFFF"/>
                <w:w w:val="105"/>
                <w:sz w:val="16"/>
              </w:rPr>
              <w:t>FMS5 Risk Assessment</w:t>
            </w:r>
          </w:p>
        </w:tc>
      </w:tr>
      <w:tr>
        <w:trPr>
          <w:trHeight w:val="508" w:hRule="atLeast"/>
        </w:trPr>
        <w:tc>
          <w:tcPr>
            <w:tcW w:w="1443" w:type="dxa"/>
            <w:tcBorders>
              <w:bottom w:val="single" w:sz="8" w:space="0" w:color="000000"/>
            </w:tcBorders>
            <w:shd w:val="clear" w:color="auto" w:fill="1F3763"/>
          </w:tcPr>
          <w:p>
            <w:pPr>
              <w:pStyle w:val="TableParagraph"/>
              <w:spacing w:before="7"/>
              <w:rPr>
                <w:sz w:val="14"/>
              </w:rPr>
            </w:pPr>
          </w:p>
          <w:p>
            <w:pPr>
              <w:pStyle w:val="TableParagraph"/>
              <w:ind w:left="20"/>
              <w:rPr>
                <w:b/>
                <w:sz w:val="13"/>
              </w:rPr>
            </w:pPr>
            <w:r>
              <w:rPr>
                <w:b/>
                <w:color w:val="FFFFFF"/>
                <w:sz w:val="13"/>
              </w:rPr>
              <w:t>Chapter</w:t>
            </w:r>
          </w:p>
        </w:tc>
        <w:tc>
          <w:tcPr>
            <w:tcW w:w="2048" w:type="dxa"/>
            <w:tcBorders>
              <w:bottom w:val="single" w:sz="8" w:space="0" w:color="000000"/>
            </w:tcBorders>
            <w:shd w:val="clear" w:color="auto" w:fill="1F3763"/>
          </w:tcPr>
          <w:p>
            <w:pPr>
              <w:pStyle w:val="TableParagraph"/>
              <w:spacing w:before="7"/>
              <w:rPr>
                <w:sz w:val="14"/>
              </w:rPr>
            </w:pPr>
          </w:p>
          <w:p>
            <w:pPr>
              <w:pStyle w:val="TableParagraph"/>
              <w:ind w:left="21"/>
              <w:rPr>
                <w:b/>
                <w:sz w:val="13"/>
              </w:rPr>
            </w:pPr>
            <w:r>
              <w:rPr>
                <w:b/>
                <w:color w:val="FFFFFF"/>
                <w:sz w:val="13"/>
              </w:rPr>
              <w:t>Section</w:t>
            </w:r>
          </w:p>
        </w:tc>
        <w:tc>
          <w:tcPr>
            <w:tcW w:w="2152" w:type="dxa"/>
            <w:tcBorders>
              <w:bottom w:val="single" w:sz="8" w:space="0" w:color="000000"/>
            </w:tcBorders>
            <w:shd w:val="clear" w:color="auto" w:fill="1F3763"/>
          </w:tcPr>
          <w:p>
            <w:pPr>
              <w:pStyle w:val="TableParagraph"/>
              <w:spacing w:before="7"/>
              <w:rPr>
                <w:sz w:val="14"/>
              </w:rPr>
            </w:pPr>
          </w:p>
          <w:p>
            <w:pPr>
              <w:pStyle w:val="TableParagraph"/>
              <w:ind w:left="21"/>
              <w:rPr>
                <w:b/>
                <w:sz w:val="13"/>
              </w:rPr>
            </w:pPr>
            <w:r>
              <w:rPr>
                <w:b/>
                <w:color w:val="FFFFFF"/>
                <w:sz w:val="13"/>
              </w:rPr>
              <w:t>Demand Area</w:t>
            </w:r>
          </w:p>
        </w:tc>
        <w:tc>
          <w:tcPr>
            <w:tcW w:w="640" w:type="dxa"/>
            <w:tcBorders>
              <w:bottom w:val="single" w:sz="8" w:space="0" w:color="000000"/>
            </w:tcBorders>
            <w:shd w:val="clear" w:color="auto" w:fill="1F3763"/>
          </w:tcPr>
          <w:p>
            <w:pPr>
              <w:pStyle w:val="TableParagraph"/>
              <w:spacing w:line="261" w:lineRule="auto" w:before="91"/>
              <w:ind w:left="21" w:right="71"/>
              <w:rPr>
                <w:b/>
                <w:sz w:val="13"/>
              </w:rPr>
            </w:pPr>
            <w:r>
              <w:rPr>
                <w:b/>
                <w:color w:val="FFFFFF"/>
                <w:sz w:val="13"/>
              </w:rPr>
              <w:t>Current Demand</w:t>
            </w:r>
          </w:p>
        </w:tc>
        <w:tc>
          <w:tcPr>
            <w:tcW w:w="640" w:type="dxa"/>
            <w:tcBorders>
              <w:bottom w:val="single" w:sz="8" w:space="0" w:color="000000"/>
            </w:tcBorders>
            <w:shd w:val="clear" w:color="auto" w:fill="1F3763"/>
          </w:tcPr>
          <w:p>
            <w:pPr>
              <w:pStyle w:val="TableParagraph"/>
              <w:spacing w:line="261" w:lineRule="auto" w:before="91"/>
              <w:ind w:left="21" w:right="71"/>
              <w:rPr>
                <w:b/>
                <w:sz w:val="13"/>
              </w:rPr>
            </w:pPr>
            <w:r>
              <w:rPr>
                <w:b/>
                <w:color w:val="FFFFFF"/>
                <w:sz w:val="13"/>
              </w:rPr>
              <w:t>Predicted Demand</w:t>
            </w:r>
          </w:p>
        </w:tc>
        <w:tc>
          <w:tcPr>
            <w:tcW w:w="640" w:type="dxa"/>
            <w:tcBorders>
              <w:bottom w:val="single" w:sz="8" w:space="0" w:color="000000"/>
            </w:tcBorders>
            <w:shd w:val="clear" w:color="auto" w:fill="1F3763"/>
          </w:tcPr>
          <w:p>
            <w:pPr>
              <w:pStyle w:val="TableParagraph"/>
              <w:spacing w:line="261" w:lineRule="auto" w:before="91"/>
              <w:ind w:left="20" w:right="71"/>
              <w:rPr>
                <w:b/>
                <w:sz w:val="13"/>
              </w:rPr>
            </w:pPr>
            <w:r>
              <w:rPr>
                <w:b/>
                <w:color w:val="FFFFFF"/>
                <w:sz w:val="13"/>
              </w:rPr>
              <w:t>Harm (MoRiLE)</w:t>
            </w:r>
          </w:p>
        </w:tc>
        <w:tc>
          <w:tcPr>
            <w:tcW w:w="640" w:type="dxa"/>
            <w:tcBorders>
              <w:bottom w:val="single" w:sz="8" w:space="0" w:color="000000"/>
            </w:tcBorders>
            <w:shd w:val="clear" w:color="auto" w:fill="1F3763"/>
          </w:tcPr>
          <w:p>
            <w:pPr>
              <w:pStyle w:val="TableParagraph"/>
              <w:spacing w:before="7"/>
              <w:rPr>
                <w:sz w:val="14"/>
              </w:rPr>
            </w:pPr>
          </w:p>
          <w:p>
            <w:pPr>
              <w:pStyle w:val="TableParagraph"/>
              <w:ind w:left="20"/>
              <w:rPr>
                <w:b/>
                <w:sz w:val="13"/>
              </w:rPr>
            </w:pPr>
            <w:r>
              <w:rPr>
                <w:b/>
                <w:color w:val="FFFFFF"/>
                <w:sz w:val="13"/>
              </w:rPr>
              <w:t>Capacity</w:t>
            </w:r>
          </w:p>
        </w:tc>
        <w:tc>
          <w:tcPr>
            <w:tcW w:w="675" w:type="dxa"/>
            <w:tcBorders>
              <w:bottom w:val="single" w:sz="8" w:space="0" w:color="000000"/>
            </w:tcBorders>
            <w:shd w:val="clear" w:color="auto" w:fill="1F3763"/>
          </w:tcPr>
          <w:p>
            <w:pPr>
              <w:pStyle w:val="TableParagraph"/>
              <w:spacing w:before="7"/>
              <w:rPr>
                <w:sz w:val="14"/>
              </w:rPr>
            </w:pPr>
          </w:p>
          <w:p>
            <w:pPr>
              <w:pStyle w:val="TableParagraph"/>
              <w:ind w:left="19"/>
              <w:rPr>
                <w:b/>
                <w:sz w:val="13"/>
              </w:rPr>
            </w:pPr>
            <w:r>
              <w:rPr>
                <w:b/>
                <w:color w:val="FFFFFF"/>
                <w:sz w:val="13"/>
              </w:rPr>
              <w:t>Capability</w:t>
            </w:r>
          </w:p>
        </w:tc>
        <w:tc>
          <w:tcPr>
            <w:tcW w:w="705" w:type="dxa"/>
            <w:tcBorders>
              <w:bottom w:val="single" w:sz="8" w:space="0" w:color="000000"/>
              <w:right w:val="single" w:sz="8" w:space="0" w:color="000000"/>
            </w:tcBorders>
            <w:shd w:val="clear" w:color="auto" w:fill="1F3763"/>
          </w:tcPr>
          <w:p>
            <w:pPr>
              <w:pStyle w:val="TableParagraph"/>
              <w:spacing w:line="261" w:lineRule="auto" w:before="91"/>
              <w:ind w:left="19" w:right="13"/>
              <w:rPr>
                <w:b/>
                <w:sz w:val="13"/>
              </w:rPr>
            </w:pPr>
            <w:r>
              <w:rPr>
                <w:b/>
                <w:color w:val="FFFFFF"/>
                <w:sz w:val="13"/>
              </w:rPr>
              <w:t>Overall Assessment</w:t>
            </w:r>
          </w:p>
        </w:tc>
      </w:tr>
      <w:tr>
        <w:trPr>
          <w:trHeight w:val="161" w:hRule="atLeast"/>
        </w:trPr>
        <w:tc>
          <w:tcPr>
            <w:tcW w:w="1443" w:type="dxa"/>
            <w:tcBorders>
              <w:top w:val="single" w:sz="8" w:space="0" w:color="000000"/>
              <w:bottom w:val="single" w:sz="8" w:space="0" w:color="000000"/>
            </w:tcBorders>
          </w:tcPr>
          <w:p>
            <w:pPr>
              <w:pStyle w:val="TableParagraph"/>
              <w:spacing w:line="137" w:lineRule="exact" w:before="4"/>
              <w:ind w:left="20"/>
              <w:rPr>
                <w:b/>
                <w:sz w:val="13"/>
              </w:rPr>
            </w:pPr>
            <w:r>
              <w:rPr>
                <w:b/>
                <w:sz w:val="13"/>
              </w:rPr>
              <w:t>Chapter 1: Finance</w:t>
            </w:r>
          </w:p>
        </w:tc>
        <w:tc>
          <w:tcPr>
            <w:tcW w:w="2048" w:type="dxa"/>
            <w:tcBorders>
              <w:top w:val="single" w:sz="8" w:space="0" w:color="000000"/>
              <w:bottom w:val="single" w:sz="8" w:space="0" w:color="000000"/>
            </w:tcBorders>
          </w:tcPr>
          <w:p>
            <w:pPr>
              <w:pStyle w:val="TableParagraph"/>
              <w:spacing w:line="137" w:lineRule="exact" w:before="4"/>
              <w:ind w:left="21"/>
              <w:rPr>
                <w:sz w:val="13"/>
              </w:rPr>
            </w:pPr>
            <w:r>
              <w:rPr>
                <w:sz w:val="13"/>
              </w:rPr>
              <w:t>Finance</w:t>
            </w:r>
          </w:p>
        </w:tc>
        <w:tc>
          <w:tcPr>
            <w:tcW w:w="6092" w:type="dxa"/>
            <w:gridSpan w:val="7"/>
            <w:tcBorders>
              <w:top w:val="single" w:sz="8" w:space="0" w:color="000000"/>
              <w:bottom w:val="single" w:sz="8" w:space="0" w:color="000000"/>
              <w:right w:val="single" w:sz="8" w:space="0" w:color="000000"/>
            </w:tcBorders>
            <w:shd w:val="clear" w:color="auto" w:fill="FF0000"/>
          </w:tcPr>
          <w:p>
            <w:pPr>
              <w:pStyle w:val="TableParagraph"/>
              <w:rPr>
                <w:rFonts w:ascii="Times New Roman"/>
                <w:sz w:val="10"/>
              </w:rPr>
            </w:pPr>
          </w:p>
        </w:tc>
      </w:tr>
      <w:tr>
        <w:trPr>
          <w:trHeight w:val="161" w:hRule="atLeast"/>
        </w:trPr>
        <w:tc>
          <w:tcPr>
            <w:tcW w:w="1443" w:type="dxa"/>
            <w:tcBorders>
              <w:top w:val="single" w:sz="8" w:space="0" w:color="000000"/>
              <w:bottom w:val="single" w:sz="8" w:space="0" w:color="000000"/>
            </w:tcBorders>
          </w:tcPr>
          <w:p>
            <w:pPr>
              <w:pStyle w:val="TableParagraph"/>
              <w:spacing w:line="137" w:lineRule="exact" w:before="4"/>
              <w:ind w:left="20"/>
              <w:rPr>
                <w:b/>
                <w:sz w:val="13"/>
              </w:rPr>
            </w:pPr>
            <w:r>
              <w:rPr>
                <w:b/>
                <w:sz w:val="13"/>
              </w:rPr>
              <w:t>Chapter 2: Wellbeing</w:t>
            </w:r>
          </w:p>
        </w:tc>
        <w:tc>
          <w:tcPr>
            <w:tcW w:w="2048" w:type="dxa"/>
            <w:tcBorders>
              <w:top w:val="single" w:sz="8" w:space="0" w:color="000000"/>
              <w:bottom w:val="single" w:sz="8" w:space="0" w:color="000000"/>
            </w:tcBorders>
          </w:tcPr>
          <w:p>
            <w:pPr>
              <w:pStyle w:val="TableParagraph"/>
              <w:spacing w:line="137" w:lineRule="exact" w:before="4"/>
              <w:ind w:left="21"/>
              <w:rPr>
                <w:sz w:val="13"/>
              </w:rPr>
            </w:pPr>
            <w:r>
              <w:rPr>
                <w:sz w:val="13"/>
              </w:rPr>
              <w:t>Wellbeing</w:t>
            </w:r>
          </w:p>
        </w:tc>
        <w:tc>
          <w:tcPr>
            <w:tcW w:w="6092" w:type="dxa"/>
            <w:gridSpan w:val="7"/>
            <w:tcBorders>
              <w:top w:val="single" w:sz="8" w:space="0" w:color="000000"/>
              <w:bottom w:val="single" w:sz="8" w:space="0" w:color="000000"/>
              <w:right w:val="single" w:sz="8" w:space="0" w:color="000000"/>
            </w:tcBorders>
            <w:shd w:val="clear" w:color="auto" w:fill="FFC000"/>
          </w:tcPr>
          <w:p>
            <w:pPr>
              <w:pStyle w:val="TableParagraph"/>
              <w:rPr>
                <w:rFonts w:ascii="Times New Roman"/>
                <w:sz w:val="10"/>
              </w:rPr>
            </w:pPr>
          </w:p>
        </w:tc>
      </w:tr>
      <w:tr>
        <w:trPr>
          <w:trHeight w:val="157" w:hRule="atLeast"/>
        </w:trPr>
        <w:tc>
          <w:tcPr>
            <w:tcW w:w="1443" w:type="dxa"/>
            <w:vMerge w:val="restart"/>
            <w:tcBorders>
              <w:top w:val="single" w:sz="8" w:space="0" w:color="000000"/>
              <w:bottom w:val="single" w:sz="8" w:space="0" w:color="000000"/>
            </w:tcBorders>
          </w:tcPr>
          <w:p>
            <w:pPr>
              <w:pStyle w:val="TableParagraph"/>
              <w:spacing w:line="261" w:lineRule="auto" w:before="65"/>
              <w:ind w:left="20"/>
              <w:rPr>
                <w:b/>
                <w:sz w:val="13"/>
              </w:rPr>
            </w:pPr>
            <w:r>
              <w:rPr>
                <w:b/>
                <w:sz w:val="13"/>
              </w:rPr>
              <w:t>Chapter 3: Responding to the Public</w:t>
            </w:r>
          </w:p>
        </w:tc>
        <w:tc>
          <w:tcPr>
            <w:tcW w:w="2048" w:type="dxa"/>
            <w:tcBorders>
              <w:top w:val="single" w:sz="8" w:space="0" w:color="000000"/>
            </w:tcBorders>
          </w:tcPr>
          <w:p>
            <w:pPr>
              <w:pStyle w:val="TableParagraph"/>
              <w:spacing w:line="133" w:lineRule="exact" w:before="4"/>
              <w:ind w:left="21"/>
              <w:rPr>
                <w:sz w:val="13"/>
              </w:rPr>
            </w:pPr>
            <w:r>
              <w:rPr>
                <w:sz w:val="13"/>
              </w:rPr>
              <w:t>Calls for Service</w:t>
            </w:r>
          </w:p>
        </w:tc>
        <w:tc>
          <w:tcPr>
            <w:tcW w:w="2152" w:type="dxa"/>
            <w:tcBorders>
              <w:top w:val="single" w:sz="8" w:space="0" w:color="000000"/>
            </w:tcBorders>
          </w:tcPr>
          <w:p>
            <w:pPr>
              <w:pStyle w:val="TableParagraph"/>
              <w:spacing w:line="133" w:lineRule="exact" w:before="4"/>
              <w:ind w:left="21"/>
              <w:rPr>
                <w:sz w:val="13"/>
              </w:rPr>
            </w:pPr>
            <w:r>
              <w:rPr>
                <w:sz w:val="13"/>
              </w:rPr>
              <w:t>N/A</w:t>
            </w:r>
          </w:p>
        </w:tc>
        <w:tc>
          <w:tcPr>
            <w:tcW w:w="640" w:type="dxa"/>
            <w:tcBorders>
              <w:top w:val="single" w:sz="8" w:space="0" w:color="000000"/>
            </w:tcBorders>
            <w:shd w:val="clear" w:color="auto" w:fill="FFC000"/>
          </w:tcPr>
          <w:p>
            <w:pPr>
              <w:pStyle w:val="TableParagraph"/>
              <w:rPr>
                <w:rFonts w:ascii="Times New Roman"/>
                <w:sz w:val="10"/>
              </w:rPr>
            </w:pPr>
          </w:p>
        </w:tc>
        <w:tc>
          <w:tcPr>
            <w:tcW w:w="640" w:type="dxa"/>
            <w:tcBorders>
              <w:top w:val="single" w:sz="8" w:space="0" w:color="000000"/>
            </w:tcBorders>
            <w:shd w:val="clear" w:color="auto" w:fill="FF0000"/>
          </w:tcPr>
          <w:p>
            <w:pPr>
              <w:pStyle w:val="TableParagraph"/>
              <w:rPr>
                <w:rFonts w:ascii="Times New Roman"/>
                <w:sz w:val="10"/>
              </w:rPr>
            </w:pPr>
          </w:p>
        </w:tc>
        <w:tc>
          <w:tcPr>
            <w:tcW w:w="640" w:type="dxa"/>
            <w:tcBorders>
              <w:top w:val="single" w:sz="8" w:space="0" w:color="000000"/>
            </w:tcBorders>
          </w:tcPr>
          <w:p>
            <w:pPr>
              <w:pStyle w:val="TableParagraph"/>
              <w:spacing w:line="133" w:lineRule="exact" w:before="4"/>
              <w:ind w:left="20"/>
              <w:rPr>
                <w:sz w:val="13"/>
              </w:rPr>
            </w:pPr>
            <w:r>
              <w:rPr>
                <w:sz w:val="13"/>
              </w:rPr>
              <w:t>N/A</w:t>
            </w:r>
          </w:p>
        </w:tc>
        <w:tc>
          <w:tcPr>
            <w:tcW w:w="640" w:type="dxa"/>
            <w:tcBorders>
              <w:top w:val="single" w:sz="8" w:space="0" w:color="000000"/>
            </w:tcBorders>
            <w:shd w:val="clear" w:color="auto" w:fill="FFC000"/>
          </w:tcPr>
          <w:p>
            <w:pPr>
              <w:pStyle w:val="TableParagraph"/>
              <w:rPr>
                <w:rFonts w:ascii="Times New Roman"/>
                <w:sz w:val="10"/>
              </w:rPr>
            </w:pPr>
          </w:p>
        </w:tc>
        <w:tc>
          <w:tcPr>
            <w:tcW w:w="675" w:type="dxa"/>
            <w:tcBorders>
              <w:top w:val="single" w:sz="8" w:space="0" w:color="000000"/>
            </w:tcBorders>
            <w:shd w:val="clear" w:color="auto" w:fill="FFC000"/>
          </w:tcPr>
          <w:p>
            <w:pPr>
              <w:pStyle w:val="TableParagraph"/>
              <w:rPr>
                <w:rFonts w:ascii="Times New Roman"/>
                <w:sz w:val="10"/>
              </w:rPr>
            </w:pPr>
          </w:p>
        </w:tc>
        <w:tc>
          <w:tcPr>
            <w:tcW w:w="705" w:type="dxa"/>
            <w:tcBorders>
              <w:top w:val="single" w:sz="8" w:space="0" w:color="000000"/>
              <w:right w:val="single" w:sz="8" w:space="0" w:color="000000"/>
            </w:tcBorders>
            <w:shd w:val="clear" w:color="auto" w:fill="FFC000"/>
          </w:tcPr>
          <w:p>
            <w:pPr>
              <w:pStyle w:val="TableParagraph"/>
              <w:rPr>
                <w:rFonts w:ascii="Times New Roman"/>
                <w:sz w:val="10"/>
              </w:rPr>
            </w:pPr>
          </w:p>
        </w:tc>
      </w:tr>
      <w:tr>
        <w:trPr>
          <w:trHeight w:val="286" w:hRule="atLeast"/>
        </w:trPr>
        <w:tc>
          <w:tcPr>
            <w:tcW w:w="1443" w:type="dxa"/>
            <w:vMerge/>
            <w:tcBorders>
              <w:top w:val="nil"/>
              <w:bottom w:val="single" w:sz="8" w:space="0" w:color="000000"/>
            </w:tcBorders>
          </w:tcPr>
          <w:p>
            <w:pPr>
              <w:rPr>
                <w:sz w:val="2"/>
                <w:szCs w:val="2"/>
              </w:rPr>
            </w:pPr>
          </w:p>
        </w:tc>
        <w:tc>
          <w:tcPr>
            <w:tcW w:w="2048" w:type="dxa"/>
            <w:tcBorders>
              <w:bottom w:val="single" w:sz="8" w:space="0" w:color="000000"/>
            </w:tcBorders>
          </w:tcPr>
          <w:p>
            <w:pPr>
              <w:pStyle w:val="TableParagraph"/>
              <w:spacing w:before="69"/>
              <w:ind w:left="21"/>
              <w:rPr>
                <w:sz w:val="13"/>
              </w:rPr>
            </w:pPr>
            <w:r>
              <w:rPr>
                <w:sz w:val="13"/>
              </w:rPr>
              <w:t>Incident Response</w:t>
            </w:r>
          </w:p>
        </w:tc>
        <w:tc>
          <w:tcPr>
            <w:tcW w:w="2152" w:type="dxa"/>
            <w:tcBorders>
              <w:bottom w:val="single" w:sz="8" w:space="0" w:color="000000"/>
            </w:tcBorders>
          </w:tcPr>
          <w:p>
            <w:pPr>
              <w:pStyle w:val="TableParagraph"/>
              <w:spacing w:before="69"/>
              <w:ind w:left="21"/>
              <w:rPr>
                <w:sz w:val="13"/>
              </w:rPr>
            </w:pPr>
            <w:r>
              <w:rPr>
                <w:sz w:val="13"/>
              </w:rPr>
              <w:t>N/A</w:t>
            </w:r>
          </w:p>
        </w:tc>
        <w:tc>
          <w:tcPr>
            <w:tcW w:w="640" w:type="dxa"/>
            <w:tcBorders>
              <w:bottom w:val="single" w:sz="8" w:space="0" w:color="000000"/>
            </w:tcBorders>
            <w:shd w:val="clear" w:color="auto" w:fill="FFFF00"/>
          </w:tcPr>
          <w:p>
            <w:pPr>
              <w:pStyle w:val="TableParagraph"/>
              <w:rPr>
                <w:rFonts w:ascii="Times New Roman"/>
                <w:sz w:val="12"/>
              </w:rPr>
            </w:pPr>
          </w:p>
        </w:tc>
        <w:tc>
          <w:tcPr>
            <w:tcW w:w="640" w:type="dxa"/>
            <w:tcBorders>
              <w:bottom w:val="single" w:sz="8" w:space="0" w:color="000000"/>
            </w:tcBorders>
            <w:shd w:val="clear" w:color="auto" w:fill="6FAC46"/>
          </w:tcPr>
          <w:p>
            <w:pPr>
              <w:pStyle w:val="TableParagraph"/>
              <w:rPr>
                <w:rFonts w:ascii="Times New Roman"/>
                <w:sz w:val="12"/>
              </w:rPr>
            </w:pPr>
          </w:p>
        </w:tc>
        <w:tc>
          <w:tcPr>
            <w:tcW w:w="640" w:type="dxa"/>
            <w:tcBorders>
              <w:bottom w:val="single" w:sz="8" w:space="0" w:color="000000"/>
            </w:tcBorders>
          </w:tcPr>
          <w:p>
            <w:pPr>
              <w:pStyle w:val="TableParagraph"/>
              <w:spacing w:before="69"/>
              <w:ind w:left="20"/>
              <w:rPr>
                <w:sz w:val="13"/>
              </w:rPr>
            </w:pPr>
            <w:r>
              <w:rPr>
                <w:sz w:val="13"/>
              </w:rPr>
              <w:t>N/A</w:t>
            </w:r>
          </w:p>
        </w:tc>
        <w:tc>
          <w:tcPr>
            <w:tcW w:w="640" w:type="dxa"/>
            <w:tcBorders>
              <w:bottom w:val="single" w:sz="8" w:space="0" w:color="000000"/>
            </w:tcBorders>
            <w:shd w:val="clear" w:color="auto" w:fill="FFC000"/>
          </w:tcPr>
          <w:p>
            <w:pPr>
              <w:pStyle w:val="TableParagraph"/>
              <w:rPr>
                <w:rFonts w:ascii="Times New Roman"/>
                <w:sz w:val="12"/>
              </w:rPr>
            </w:pPr>
          </w:p>
        </w:tc>
        <w:tc>
          <w:tcPr>
            <w:tcW w:w="675" w:type="dxa"/>
            <w:tcBorders>
              <w:bottom w:val="single" w:sz="8" w:space="0" w:color="000000"/>
            </w:tcBorders>
            <w:shd w:val="clear" w:color="auto" w:fill="FFC000"/>
          </w:tcPr>
          <w:p>
            <w:pPr>
              <w:pStyle w:val="TableParagraph"/>
              <w:rPr>
                <w:rFonts w:ascii="Times New Roman"/>
                <w:sz w:val="12"/>
              </w:rPr>
            </w:pPr>
          </w:p>
        </w:tc>
        <w:tc>
          <w:tcPr>
            <w:tcW w:w="705" w:type="dxa"/>
            <w:tcBorders>
              <w:bottom w:val="single" w:sz="8" w:space="0" w:color="000000"/>
              <w:right w:val="single" w:sz="8" w:space="0" w:color="000000"/>
            </w:tcBorders>
            <w:shd w:val="clear" w:color="auto" w:fill="FFC000"/>
          </w:tcPr>
          <w:p>
            <w:pPr>
              <w:pStyle w:val="TableParagraph"/>
              <w:rPr>
                <w:rFonts w:ascii="Times New Roman"/>
                <w:sz w:val="12"/>
              </w:rPr>
            </w:pPr>
          </w:p>
        </w:tc>
      </w:tr>
      <w:tr>
        <w:trPr>
          <w:trHeight w:val="1371" w:hRule="atLeast"/>
        </w:trPr>
        <w:tc>
          <w:tcPr>
            <w:tcW w:w="1443" w:type="dxa"/>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2"/>
              </w:rPr>
            </w:pPr>
          </w:p>
          <w:p>
            <w:pPr>
              <w:pStyle w:val="TableParagraph"/>
              <w:spacing w:line="261" w:lineRule="auto" w:before="84"/>
              <w:ind w:left="20" w:right="-16"/>
              <w:rPr>
                <w:b/>
                <w:sz w:val="13"/>
              </w:rPr>
            </w:pPr>
            <w:r>
              <w:rPr>
                <w:b/>
                <w:sz w:val="13"/>
              </w:rPr>
              <w:t>Chapter </w:t>
            </w:r>
            <w:r>
              <w:rPr>
                <w:b/>
                <w:spacing w:val="-3"/>
                <w:sz w:val="13"/>
              </w:rPr>
              <w:t>4: </w:t>
            </w:r>
            <w:r>
              <w:rPr>
                <w:b/>
                <w:sz w:val="13"/>
              </w:rPr>
              <w:t>Prevention and Deterrence</w:t>
            </w:r>
          </w:p>
        </w:tc>
        <w:tc>
          <w:tcPr>
            <w:tcW w:w="2048" w:type="dxa"/>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2"/>
              </w:rPr>
            </w:pPr>
          </w:p>
          <w:p>
            <w:pPr>
              <w:pStyle w:val="TableParagraph"/>
              <w:spacing w:line="261" w:lineRule="auto" w:before="84"/>
              <w:ind w:left="21" w:right="220"/>
              <w:rPr>
                <w:sz w:val="13"/>
              </w:rPr>
            </w:pPr>
            <w:r>
              <w:rPr>
                <w:sz w:val="13"/>
              </w:rPr>
              <w:t>Prevention and Deterrence - NHD Policing/ Partnerships</w:t>
            </w:r>
          </w:p>
        </w:tc>
        <w:tc>
          <w:tcPr>
            <w:tcW w:w="2152" w:type="dxa"/>
            <w:tcBorders>
              <w:top w:val="single" w:sz="8" w:space="0" w:color="000000"/>
              <w:bottom w:val="single" w:sz="8" w:space="0" w:color="000000"/>
            </w:tcBorders>
          </w:tcPr>
          <w:p>
            <w:pPr>
              <w:pStyle w:val="TableParagraph"/>
              <w:numPr>
                <w:ilvl w:val="0"/>
                <w:numId w:val="58"/>
              </w:numPr>
              <w:tabs>
                <w:tab w:pos="195" w:val="left" w:leader="none"/>
              </w:tabs>
              <w:spacing w:line="240" w:lineRule="auto" w:before="4" w:after="0"/>
              <w:ind w:left="194" w:right="0" w:hanging="174"/>
              <w:jc w:val="left"/>
              <w:rPr>
                <w:sz w:val="13"/>
              </w:rPr>
            </w:pPr>
            <w:r>
              <w:rPr>
                <w:sz w:val="13"/>
              </w:rPr>
              <w:t>Alcohol-related</w:t>
            </w:r>
            <w:r>
              <w:rPr>
                <w:spacing w:val="-3"/>
                <w:sz w:val="13"/>
              </w:rPr>
              <w:t> </w:t>
            </w:r>
            <w:r>
              <w:rPr>
                <w:sz w:val="13"/>
              </w:rPr>
              <w:t>occurrences</w:t>
            </w:r>
          </w:p>
          <w:p>
            <w:pPr>
              <w:pStyle w:val="TableParagraph"/>
              <w:numPr>
                <w:ilvl w:val="0"/>
                <w:numId w:val="58"/>
              </w:numPr>
              <w:tabs>
                <w:tab w:pos="195" w:val="left" w:leader="none"/>
              </w:tabs>
              <w:spacing w:line="240" w:lineRule="auto" w:before="14" w:after="0"/>
              <w:ind w:left="194" w:right="0" w:hanging="174"/>
              <w:jc w:val="left"/>
              <w:rPr>
                <w:sz w:val="13"/>
              </w:rPr>
            </w:pPr>
            <w:r>
              <w:rPr>
                <w:sz w:val="13"/>
              </w:rPr>
              <w:t>ASB</w:t>
            </w:r>
            <w:r>
              <w:rPr>
                <w:spacing w:val="-5"/>
                <w:sz w:val="13"/>
              </w:rPr>
              <w:t> </w:t>
            </w:r>
            <w:r>
              <w:rPr>
                <w:sz w:val="13"/>
              </w:rPr>
              <w:t>Environmental</w:t>
            </w:r>
          </w:p>
          <w:p>
            <w:pPr>
              <w:pStyle w:val="TableParagraph"/>
              <w:numPr>
                <w:ilvl w:val="0"/>
                <w:numId w:val="58"/>
              </w:numPr>
              <w:tabs>
                <w:tab w:pos="195" w:val="left" w:leader="none"/>
              </w:tabs>
              <w:spacing w:line="240" w:lineRule="auto" w:before="15" w:after="0"/>
              <w:ind w:left="194" w:right="0" w:hanging="174"/>
              <w:jc w:val="left"/>
              <w:rPr>
                <w:sz w:val="13"/>
              </w:rPr>
            </w:pPr>
            <w:r>
              <w:rPr>
                <w:sz w:val="13"/>
              </w:rPr>
              <w:t>ASB</w:t>
            </w:r>
            <w:r>
              <w:rPr>
                <w:spacing w:val="-4"/>
                <w:sz w:val="13"/>
              </w:rPr>
              <w:t> </w:t>
            </w:r>
            <w:r>
              <w:rPr>
                <w:sz w:val="13"/>
              </w:rPr>
              <w:t>Nuisance</w:t>
            </w:r>
          </w:p>
          <w:p>
            <w:pPr>
              <w:pStyle w:val="TableParagraph"/>
              <w:numPr>
                <w:ilvl w:val="0"/>
                <w:numId w:val="58"/>
              </w:numPr>
              <w:tabs>
                <w:tab w:pos="195" w:val="left" w:leader="none"/>
              </w:tabs>
              <w:spacing w:line="240" w:lineRule="auto" w:before="14" w:after="0"/>
              <w:ind w:left="194" w:right="0" w:hanging="174"/>
              <w:jc w:val="left"/>
              <w:rPr>
                <w:sz w:val="13"/>
              </w:rPr>
            </w:pPr>
            <w:r>
              <w:rPr>
                <w:sz w:val="13"/>
              </w:rPr>
              <w:t>ASB</w:t>
            </w:r>
            <w:r>
              <w:rPr>
                <w:spacing w:val="-1"/>
                <w:sz w:val="13"/>
              </w:rPr>
              <w:t> </w:t>
            </w:r>
            <w:r>
              <w:rPr>
                <w:sz w:val="13"/>
              </w:rPr>
              <w:t>Personal</w:t>
            </w:r>
          </w:p>
          <w:p>
            <w:pPr>
              <w:pStyle w:val="TableParagraph"/>
              <w:numPr>
                <w:ilvl w:val="0"/>
                <w:numId w:val="58"/>
              </w:numPr>
              <w:tabs>
                <w:tab w:pos="195" w:val="left" w:leader="none"/>
              </w:tabs>
              <w:spacing w:line="240" w:lineRule="auto" w:before="14" w:after="0"/>
              <w:ind w:left="194" w:right="0" w:hanging="174"/>
              <w:jc w:val="left"/>
              <w:rPr>
                <w:sz w:val="13"/>
              </w:rPr>
            </w:pPr>
            <w:r>
              <w:rPr>
                <w:sz w:val="13"/>
              </w:rPr>
              <w:t>Concern for</w:t>
            </w:r>
            <w:r>
              <w:rPr>
                <w:spacing w:val="-9"/>
                <w:sz w:val="13"/>
              </w:rPr>
              <w:t> </w:t>
            </w:r>
            <w:r>
              <w:rPr>
                <w:sz w:val="13"/>
              </w:rPr>
              <w:t>Safety</w:t>
            </w:r>
          </w:p>
          <w:p>
            <w:pPr>
              <w:pStyle w:val="TableParagraph"/>
              <w:numPr>
                <w:ilvl w:val="0"/>
                <w:numId w:val="58"/>
              </w:numPr>
              <w:tabs>
                <w:tab w:pos="195" w:val="left" w:leader="none"/>
              </w:tabs>
              <w:spacing w:line="240" w:lineRule="auto" w:before="14" w:after="0"/>
              <w:ind w:left="194" w:right="0" w:hanging="174"/>
              <w:jc w:val="left"/>
              <w:rPr>
                <w:sz w:val="13"/>
              </w:rPr>
            </w:pPr>
            <w:r>
              <w:rPr>
                <w:sz w:val="13"/>
              </w:rPr>
              <w:t>Criminal Damage</w:t>
            </w:r>
          </w:p>
          <w:p>
            <w:pPr>
              <w:pStyle w:val="TableParagraph"/>
              <w:numPr>
                <w:ilvl w:val="0"/>
                <w:numId w:val="58"/>
              </w:numPr>
              <w:tabs>
                <w:tab w:pos="195" w:val="left" w:leader="none"/>
              </w:tabs>
              <w:spacing w:line="240" w:lineRule="auto" w:before="14" w:after="0"/>
              <w:ind w:left="194" w:right="0" w:hanging="174"/>
              <w:jc w:val="left"/>
              <w:rPr>
                <w:sz w:val="13"/>
              </w:rPr>
            </w:pPr>
            <w:r>
              <w:rPr>
                <w:sz w:val="13"/>
              </w:rPr>
              <w:t>Rural crime</w:t>
            </w:r>
          </w:p>
          <w:p>
            <w:pPr>
              <w:pStyle w:val="TableParagraph"/>
              <w:numPr>
                <w:ilvl w:val="0"/>
                <w:numId w:val="58"/>
              </w:numPr>
              <w:tabs>
                <w:tab w:pos="195" w:val="left" w:leader="none"/>
              </w:tabs>
              <w:spacing w:line="137" w:lineRule="exact" w:before="15" w:after="0"/>
              <w:ind w:left="194" w:right="0" w:hanging="174"/>
              <w:jc w:val="left"/>
              <w:rPr>
                <w:sz w:val="13"/>
              </w:rPr>
            </w:pPr>
            <w:r>
              <w:rPr>
                <w:spacing w:val="2"/>
                <w:sz w:val="13"/>
              </w:rPr>
              <w:t>Wildlife</w:t>
            </w:r>
            <w:r>
              <w:rPr>
                <w:sz w:val="13"/>
              </w:rPr>
              <w:t> crime</w:t>
            </w: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40" w:type="dxa"/>
            <w:tcBorders>
              <w:top w:val="single" w:sz="8" w:space="0" w:color="000000"/>
              <w:bottom w:val="single" w:sz="8" w:space="0" w:color="000000"/>
            </w:tcBorders>
            <w:shd w:val="clear" w:color="auto" w:fill="FFC000"/>
          </w:tcPr>
          <w:p>
            <w:pPr>
              <w:pStyle w:val="TableParagraph"/>
              <w:spacing w:before="4"/>
              <w:ind w:left="20"/>
              <w:rPr>
                <w:sz w:val="13"/>
              </w:rPr>
            </w:pPr>
            <w:r>
              <w:rPr>
                <w:sz w:val="13"/>
              </w:rPr>
              <w:t>(1) 44</w:t>
            </w:r>
          </w:p>
          <w:p>
            <w:pPr>
              <w:pStyle w:val="TableParagraph"/>
              <w:spacing w:before="14"/>
              <w:ind w:left="20"/>
              <w:rPr>
                <w:sz w:val="13"/>
              </w:rPr>
            </w:pPr>
            <w:r>
              <w:rPr>
                <w:sz w:val="13"/>
              </w:rPr>
              <w:t>(2) 16.625</w:t>
            </w:r>
          </w:p>
          <w:p>
            <w:pPr>
              <w:pStyle w:val="TableParagraph"/>
              <w:spacing w:before="15"/>
              <w:ind w:left="20"/>
              <w:rPr>
                <w:sz w:val="13"/>
              </w:rPr>
            </w:pPr>
            <w:r>
              <w:rPr>
                <w:sz w:val="13"/>
              </w:rPr>
              <w:t>(3) 11.25</w:t>
            </w:r>
          </w:p>
          <w:p>
            <w:pPr>
              <w:pStyle w:val="TableParagraph"/>
              <w:spacing w:before="14"/>
              <w:ind w:left="20"/>
              <w:rPr>
                <w:sz w:val="13"/>
              </w:rPr>
            </w:pPr>
            <w:r>
              <w:rPr>
                <w:sz w:val="13"/>
              </w:rPr>
              <w:t>(4) 10.5</w:t>
            </w:r>
          </w:p>
          <w:p>
            <w:pPr>
              <w:pStyle w:val="TableParagraph"/>
              <w:spacing w:before="14"/>
              <w:ind w:left="20"/>
              <w:rPr>
                <w:sz w:val="13"/>
              </w:rPr>
            </w:pPr>
            <w:r>
              <w:rPr>
                <w:sz w:val="13"/>
              </w:rPr>
              <w:t>(5) 22.75</w:t>
            </w:r>
          </w:p>
          <w:p>
            <w:pPr>
              <w:pStyle w:val="TableParagraph"/>
              <w:spacing w:before="14"/>
              <w:ind w:left="20"/>
              <w:rPr>
                <w:sz w:val="13"/>
              </w:rPr>
            </w:pPr>
            <w:r>
              <w:rPr>
                <w:sz w:val="13"/>
              </w:rPr>
              <w:t>(6) 13.125</w:t>
            </w:r>
          </w:p>
          <w:p>
            <w:pPr>
              <w:pStyle w:val="TableParagraph"/>
              <w:spacing w:before="14"/>
              <w:ind w:left="20"/>
              <w:rPr>
                <w:sz w:val="13"/>
              </w:rPr>
            </w:pPr>
            <w:r>
              <w:rPr>
                <w:sz w:val="13"/>
              </w:rPr>
              <w:t>(7)</w:t>
            </w:r>
            <w:r>
              <w:rPr>
                <w:spacing w:val="-3"/>
                <w:sz w:val="13"/>
              </w:rPr>
              <w:t> </w:t>
            </w:r>
            <w:r>
              <w:rPr>
                <w:spacing w:val="-5"/>
                <w:sz w:val="13"/>
              </w:rPr>
              <w:t>24.75</w:t>
            </w:r>
          </w:p>
          <w:p>
            <w:pPr>
              <w:pStyle w:val="TableParagraph"/>
              <w:spacing w:line="137" w:lineRule="exact" w:before="15"/>
              <w:ind w:left="20"/>
              <w:rPr>
                <w:sz w:val="13"/>
              </w:rPr>
            </w:pPr>
            <w:r>
              <w:rPr>
                <w:sz w:val="13"/>
              </w:rPr>
              <w:t>(8)</w:t>
            </w:r>
            <w:r>
              <w:rPr>
                <w:spacing w:val="-3"/>
                <w:sz w:val="13"/>
              </w:rPr>
              <w:t> </w:t>
            </w:r>
            <w:r>
              <w:rPr>
                <w:spacing w:val="-5"/>
                <w:sz w:val="13"/>
              </w:rPr>
              <w:t>12.75</w:t>
            </w: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75" w:type="dxa"/>
            <w:tcBorders>
              <w:top w:val="single" w:sz="8" w:space="0" w:color="000000"/>
              <w:bottom w:val="single" w:sz="8" w:space="0" w:color="000000"/>
            </w:tcBorders>
            <w:shd w:val="clear" w:color="auto" w:fill="FFC000"/>
          </w:tcPr>
          <w:p>
            <w:pPr>
              <w:pStyle w:val="TableParagraph"/>
              <w:rPr>
                <w:rFonts w:ascii="Times New Roman"/>
                <w:sz w:val="12"/>
              </w:rPr>
            </w:pPr>
          </w:p>
        </w:tc>
        <w:tc>
          <w:tcPr>
            <w:tcW w:w="705" w:type="dxa"/>
            <w:tcBorders>
              <w:top w:val="single" w:sz="8" w:space="0" w:color="000000"/>
              <w:bottom w:val="single" w:sz="8" w:space="0" w:color="000000"/>
              <w:right w:val="single" w:sz="8" w:space="0" w:color="000000"/>
            </w:tcBorders>
            <w:shd w:val="clear" w:color="auto" w:fill="FFC000"/>
          </w:tcPr>
          <w:p>
            <w:pPr>
              <w:pStyle w:val="TableParagraph"/>
              <w:rPr>
                <w:rFonts w:ascii="Times New Roman"/>
                <w:sz w:val="12"/>
              </w:rPr>
            </w:pPr>
          </w:p>
        </w:tc>
      </w:tr>
      <w:tr>
        <w:trPr>
          <w:trHeight w:val="157" w:hRule="atLeast"/>
        </w:trPr>
        <w:tc>
          <w:tcPr>
            <w:tcW w:w="1443" w:type="dxa"/>
            <w:vMerge w:val="restart"/>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spacing w:before="92"/>
              <w:ind w:left="20"/>
              <w:rPr>
                <w:b/>
                <w:sz w:val="13"/>
              </w:rPr>
            </w:pPr>
            <w:r>
              <w:rPr>
                <w:b/>
                <w:sz w:val="13"/>
              </w:rPr>
              <w:t>Chapter 5: Investigations</w:t>
            </w:r>
          </w:p>
        </w:tc>
        <w:tc>
          <w:tcPr>
            <w:tcW w:w="2048" w:type="dxa"/>
            <w:tcBorders>
              <w:top w:val="single" w:sz="8" w:space="0" w:color="000000"/>
            </w:tcBorders>
          </w:tcPr>
          <w:p>
            <w:pPr>
              <w:pStyle w:val="TableParagraph"/>
              <w:spacing w:line="133" w:lineRule="exact" w:before="4"/>
              <w:ind w:left="21"/>
              <w:rPr>
                <w:sz w:val="13"/>
              </w:rPr>
            </w:pPr>
            <w:r>
              <w:rPr>
                <w:sz w:val="13"/>
              </w:rPr>
              <w:t>Volume and Serious Crime</w:t>
            </w:r>
          </w:p>
        </w:tc>
        <w:tc>
          <w:tcPr>
            <w:tcW w:w="2152" w:type="dxa"/>
            <w:tcBorders>
              <w:top w:val="single" w:sz="8" w:space="0" w:color="000000"/>
            </w:tcBorders>
          </w:tcPr>
          <w:p>
            <w:pPr>
              <w:pStyle w:val="TableParagraph"/>
              <w:spacing w:line="133" w:lineRule="exact" w:before="4"/>
              <w:ind w:left="21"/>
              <w:rPr>
                <w:sz w:val="13"/>
              </w:rPr>
            </w:pPr>
            <w:r>
              <w:rPr>
                <w:sz w:val="13"/>
              </w:rPr>
              <w:t>Various</w:t>
            </w:r>
          </w:p>
        </w:tc>
        <w:tc>
          <w:tcPr>
            <w:tcW w:w="640" w:type="dxa"/>
            <w:tcBorders>
              <w:top w:val="single" w:sz="8" w:space="0" w:color="000000"/>
            </w:tcBorders>
            <w:shd w:val="clear" w:color="auto" w:fill="FFFF00"/>
          </w:tcPr>
          <w:p>
            <w:pPr>
              <w:pStyle w:val="TableParagraph"/>
              <w:rPr>
                <w:rFonts w:ascii="Times New Roman"/>
                <w:sz w:val="10"/>
              </w:rPr>
            </w:pPr>
          </w:p>
        </w:tc>
        <w:tc>
          <w:tcPr>
            <w:tcW w:w="640" w:type="dxa"/>
            <w:tcBorders>
              <w:top w:val="single" w:sz="8" w:space="0" w:color="000000"/>
            </w:tcBorders>
            <w:shd w:val="clear" w:color="auto" w:fill="FFC000"/>
          </w:tcPr>
          <w:p>
            <w:pPr>
              <w:pStyle w:val="TableParagraph"/>
              <w:rPr>
                <w:rFonts w:ascii="Times New Roman"/>
                <w:sz w:val="10"/>
              </w:rPr>
            </w:pPr>
          </w:p>
        </w:tc>
        <w:tc>
          <w:tcPr>
            <w:tcW w:w="640" w:type="dxa"/>
            <w:tcBorders>
              <w:top w:val="single" w:sz="8" w:space="0" w:color="000000"/>
            </w:tcBorders>
            <w:shd w:val="clear" w:color="auto" w:fill="FFC000"/>
          </w:tcPr>
          <w:p>
            <w:pPr>
              <w:pStyle w:val="TableParagraph"/>
              <w:spacing w:line="133" w:lineRule="exact" w:before="4"/>
              <w:ind w:left="20"/>
              <w:rPr>
                <w:sz w:val="13"/>
              </w:rPr>
            </w:pPr>
            <w:r>
              <w:rPr>
                <w:sz w:val="13"/>
              </w:rPr>
              <w:t>31.625</w:t>
            </w:r>
          </w:p>
        </w:tc>
        <w:tc>
          <w:tcPr>
            <w:tcW w:w="640" w:type="dxa"/>
            <w:tcBorders>
              <w:top w:val="single" w:sz="8" w:space="0" w:color="000000"/>
            </w:tcBorders>
            <w:shd w:val="clear" w:color="auto" w:fill="FFC000"/>
          </w:tcPr>
          <w:p>
            <w:pPr>
              <w:pStyle w:val="TableParagraph"/>
              <w:rPr>
                <w:rFonts w:ascii="Times New Roman"/>
                <w:sz w:val="10"/>
              </w:rPr>
            </w:pPr>
          </w:p>
        </w:tc>
        <w:tc>
          <w:tcPr>
            <w:tcW w:w="675" w:type="dxa"/>
            <w:tcBorders>
              <w:top w:val="single" w:sz="8" w:space="0" w:color="000000"/>
            </w:tcBorders>
            <w:shd w:val="clear" w:color="auto" w:fill="FFC000"/>
          </w:tcPr>
          <w:p>
            <w:pPr>
              <w:pStyle w:val="TableParagraph"/>
              <w:rPr>
                <w:rFonts w:ascii="Times New Roman"/>
                <w:sz w:val="10"/>
              </w:rPr>
            </w:pPr>
          </w:p>
        </w:tc>
        <w:tc>
          <w:tcPr>
            <w:tcW w:w="705" w:type="dxa"/>
            <w:tcBorders>
              <w:top w:val="single" w:sz="8" w:space="0" w:color="000000"/>
              <w:right w:val="single" w:sz="8" w:space="0" w:color="000000"/>
            </w:tcBorders>
            <w:shd w:val="clear" w:color="auto" w:fill="FFC000"/>
          </w:tcPr>
          <w:p>
            <w:pPr>
              <w:pStyle w:val="TableParagraph"/>
              <w:rPr>
                <w:rFonts w:ascii="Times New Roman"/>
                <w:sz w:val="10"/>
              </w:rPr>
            </w:pPr>
          </w:p>
        </w:tc>
      </w:tr>
      <w:tr>
        <w:trPr>
          <w:trHeight w:val="334"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before="86"/>
              <w:ind w:left="21"/>
              <w:rPr>
                <w:sz w:val="13"/>
              </w:rPr>
            </w:pPr>
            <w:r>
              <w:rPr>
                <w:sz w:val="13"/>
              </w:rPr>
              <w:t>Fraud</w:t>
            </w:r>
          </w:p>
        </w:tc>
        <w:tc>
          <w:tcPr>
            <w:tcW w:w="2152" w:type="dxa"/>
          </w:tcPr>
          <w:p>
            <w:pPr>
              <w:pStyle w:val="TableParagraph"/>
              <w:spacing w:before="86"/>
              <w:ind w:left="21"/>
              <w:rPr>
                <w:sz w:val="13"/>
              </w:rPr>
            </w:pPr>
            <w:r>
              <w:rPr>
                <w:sz w:val="13"/>
              </w:rPr>
              <w:t>Fraud - Personal and Commercial</w:t>
            </w:r>
          </w:p>
        </w:tc>
        <w:tc>
          <w:tcPr>
            <w:tcW w:w="640" w:type="dxa"/>
            <w:shd w:val="clear" w:color="auto" w:fill="6FAC46"/>
          </w:tcPr>
          <w:p>
            <w:pPr>
              <w:pStyle w:val="TableParagraph"/>
              <w:rPr>
                <w:rFonts w:ascii="Times New Roman"/>
                <w:sz w:val="12"/>
              </w:rPr>
            </w:pPr>
          </w:p>
        </w:tc>
        <w:tc>
          <w:tcPr>
            <w:tcW w:w="640" w:type="dxa"/>
            <w:shd w:val="clear" w:color="auto" w:fill="FFFF00"/>
          </w:tcPr>
          <w:p>
            <w:pPr>
              <w:pStyle w:val="TableParagraph"/>
              <w:rPr>
                <w:rFonts w:ascii="Times New Roman"/>
                <w:sz w:val="12"/>
              </w:rPr>
            </w:pPr>
          </w:p>
        </w:tc>
        <w:tc>
          <w:tcPr>
            <w:tcW w:w="640" w:type="dxa"/>
            <w:shd w:val="clear" w:color="auto" w:fill="FFC000"/>
          </w:tcPr>
          <w:p>
            <w:pPr>
              <w:pStyle w:val="TableParagraph"/>
              <w:spacing w:before="86"/>
              <w:ind w:left="20"/>
              <w:rPr>
                <w:sz w:val="13"/>
              </w:rPr>
            </w:pPr>
            <w:r>
              <w:rPr>
                <w:sz w:val="13"/>
              </w:rPr>
              <w:t>41.25</w:t>
            </w:r>
          </w:p>
        </w:tc>
        <w:tc>
          <w:tcPr>
            <w:tcW w:w="640" w:type="dxa"/>
            <w:shd w:val="clear" w:color="auto" w:fill="6FAC46"/>
          </w:tcPr>
          <w:p>
            <w:pPr>
              <w:pStyle w:val="TableParagraph"/>
              <w:rPr>
                <w:rFonts w:ascii="Times New Roman"/>
                <w:sz w:val="12"/>
              </w:rPr>
            </w:pPr>
          </w:p>
        </w:tc>
        <w:tc>
          <w:tcPr>
            <w:tcW w:w="675" w:type="dxa"/>
            <w:shd w:val="clear" w:color="auto" w:fill="FFFF00"/>
          </w:tcPr>
          <w:p>
            <w:pPr>
              <w:pStyle w:val="TableParagraph"/>
              <w:rPr>
                <w:rFonts w:ascii="Times New Roman"/>
                <w:sz w:val="12"/>
              </w:rPr>
            </w:pPr>
          </w:p>
        </w:tc>
        <w:tc>
          <w:tcPr>
            <w:tcW w:w="705" w:type="dxa"/>
            <w:tcBorders>
              <w:right w:val="single" w:sz="8" w:space="0" w:color="000000"/>
            </w:tcBorders>
            <w:shd w:val="clear" w:color="auto" w:fill="6FAC46"/>
          </w:tcPr>
          <w:p>
            <w:pPr>
              <w:pStyle w:val="TableParagraph"/>
              <w:rPr>
                <w:rFonts w:ascii="Times New Roman"/>
                <w:sz w:val="12"/>
              </w:rPr>
            </w:pPr>
          </w:p>
        </w:tc>
      </w:tr>
      <w:tr>
        <w:trPr>
          <w:trHeight w:val="187"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50" w:lineRule="exact" w:before="17"/>
              <w:ind w:left="21"/>
              <w:rPr>
                <w:sz w:val="13"/>
              </w:rPr>
            </w:pPr>
            <w:r>
              <w:rPr>
                <w:sz w:val="13"/>
              </w:rPr>
              <w:t>Custody</w:t>
            </w:r>
          </w:p>
        </w:tc>
        <w:tc>
          <w:tcPr>
            <w:tcW w:w="2152" w:type="dxa"/>
          </w:tcPr>
          <w:p>
            <w:pPr>
              <w:pStyle w:val="TableParagraph"/>
              <w:spacing w:line="150" w:lineRule="exact" w:before="17"/>
              <w:ind w:left="21"/>
              <w:rPr>
                <w:sz w:val="13"/>
              </w:rPr>
            </w:pPr>
            <w:r>
              <w:rPr>
                <w:sz w:val="13"/>
              </w:rPr>
              <w:t>N/A</w:t>
            </w:r>
          </w:p>
        </w:tc>
        <w:tc>
          <w:tcPr>
            <w:tcW w:w="640" w:type="dxa"/>
            <w:shd w:val="clear" w:color="auto" w:fill="FFC000"/>
          </w:tcPr>
          <w:p>
            <w:pPr>
              <w:pStyle w:val="TableParagraph"/>
              <w:rPr>
                <w:rFonts w:ascii="Times New Roman"/>
                <w:sz w:val="12"/>
              </w:rPr>
            </w:pPr>
          </w:p>
        </w:tc>
        <w:tc>
          <w:tcPr>
            <w:tcW w:w="640" w:type="dxa"/>
            <w:shd w:val="clear" w:color="auto" w:fill="FFC000"/>
          </w:tcPr>
          <w:p>
            <w:pPr>
              <w:pStyle w:val="TableParagraph"/>
              <w:rPr>
                <w:rFonts w:ascii="Times New Roman"/>
                <w:sz w:val="12"/>
              </w:rPr>
            </w:pPr>
          </w:p>
        </w:tc>
        <w:tc>
          <w:tcPr>
            <w:tcW w:w="640" w:type="dxa"/>
          </w:tcPr>
          <w:p>
            <w:pPr>
              <w:pStyle w:val="TableParagraph"/>
              <w:spacing w:line="150" w:lineRule="exact" w:before="17"/>
              <w:ind w:left="20"/>
              <w:rPr>
                <w:sz w:val="13"/>
              </w:rPr>
            </w:pPr>
            <w:r>
              <w:rPr>
                <w:sz w:val="13"/>
              </w:rPr>
              <w:t>N/A</w:t>
            </w:r>
          </w:p>
        </w:tc>
        <w:tc>
          <w:tcPr>
            <w:tcW w:w="640" w:type="dxa"/>
            <w:shd w:val="clear" w:color="auto" w:fill="FF0000"/>
          </w:tcPr>
          <w:p>
            <w:pPr>
              <w:pStyle w:val="TableParagraph"/>
              <w:rPr>
                <w:rFonts w:ascii="Times New Roman"/>
                <w:sz w:val="12"/>
              </w:rPr>
            </w:pPr>
          </w:p>
        </w:tc>
        <w:tc>
          <w:tcPr>
            <w:tcW w:w="675" w:type="dxa"/>
            <w:shd w:val="clear" w:color="auto" w:fill="FF0000"/>
          </w:tcPr>
          <w:p>
            <w:pPr>
              <w:pStyle w:val="TableParagraph"/>
              <w:rPr>
                <w:rFonts w:ascii="Times New Roman"/>
                <w:sz w:val="12"/>
              </w:rPr>
            </w:pPr>
          </w:p>
        </w:tc>
        <w:tc>
          <w:tcPr>
            <w:tcW w:w="705" w:type="dxa"/>
            <w:tcBorders>
              <w:right w:val="single" w:sz="8" w:space="0" w:color="000000"/>
            </w:tcBorders>
            <w:shd w:val="clear" w:color="auto" w:fill="FFC000"/>
          </w:tcPr>
          <w:p>
            <w:pPr>
              <w:pStyle w:val="TableParagraph"/>
              <w:rPr>
                <w:rFonts w:ascii="Times New Roman"/>
                <w:sz w:val="12"/>
              </w:rPr>
            </w:pPr>
          </w:p>
        </w:tc>
      </w:tr>
      <w:tr>
        <w:trPr>
          <w:trHeight w:val="191" w:hRule="atLeast"/>
        </w:trPr>
        <w:tc>
          <w:tcPr>
            <w:tcW w:w="1443" w:type="dxa"/>
            <w:vMerge/>
            <w:tcBorders>
              <w:top w:val="nil"/>
              <w:bottom w:val="single" w:sz="8" w:space="0" w:color="000000"/>
            </w:tcBorders>
          </w:tcPr>
          <w:p>
            <w:pPr>
              <w:rPr>
                <w:sz w:val="2"/>
                <w:szCs w:val="2"/>
              </w:rPr>
            </w:pPr>
          </w:p>
        </w:tc>
        <w:tc>
          <w:tcPr>
            <w:tcW w:w="2048" w:type="dxa"/>
            <w:tcBorders>
              <w:bottom w:val="single" w:sz="8" w:space="0" w:color="000000"/>
            </w:tcBorders>
          </w:tcPr>
          <w:p>
            <w:pPr>
              <w:pStyle w:val="TableParagraph"/>
              <w:spacing w:line="154" w:lineRule="exact" w:before="17"/>
              <w:ind w:left="21"/>
              <w:rPr>
                <w:sz w:val="13"/>
              </w:rPr>
            </w:pPr>
            <w:r>
              <w:rPr>
                <w:sz w:val="13"/>
              </w:rPr>
              <w:t>Sanctions and Prosecutions</w:t>
            </w:r>
          </w:p>
        </w:tc>
        <w:tc>
          <w:tcPr>
            <w:tcW w:w="2152" w:type="dxa"/>
            <w:tcBorders>
              <w:bottom w:val="single" w:sz="8" w:space="0" w:color="000000"/>
            </w:tcBorders>
          </w:tcPr>
          <w:p>
            <w:pPr>
              <w:pStyle w:val="TableParagraph"/>
              <w:spacing w:line="154" w:lineRule="exact" w:before="17"/>
              <w:ind w:left="21"/>
              <w:rPr>
                <w:sz w:val="13"/>
              </w:rPr>
            </w:pPr>
            <w:r>
              <w:rPr>
                <w:sz w:val="13"/>
              </w:rPr>
              <w:t>N/A</w:t>
            </w:r>
          </w:p>
        </w:tc>
        <w:tc>
          <w:tcPr>
            <w:tcW w:w="640" w:type="dxa"/>
            <w:tcBorders>
              <w:bottom w:val="single" w:sz="8" w:space="0" w:color="000000"/>
            </w:tcBorders>
            <w:shd w:val="clear" w:color="auto" w:fill="FFC000"/>
          </w:tcPr>
          <w:p>
            <w:pPr>
              <w:pStyle w:val="TableParagraph"/>
              <w:rPr>
                <w:rFonts w:ascii="Times New Roman"/>
                <w:sz w:val="12"/>
              </w:rPr>
            </w:pPr>
          </w:p>
        </w:tc>
        <w:tc>
          <w:tcPr>
            <w:tcW w:w="640" w:type="dxa"/>
            <w:tcBorders>
              <w:bottom w:val="single" w:sz="8" w:space="0" w:color="000000"/>
            </w:tcBorders>
            <w:shd w:val="clear" w:color="auto" w:fill="FF0000"/>
          </w:tcPr>
          <w:p>
            <w:pPr>
              <w:pStyle w:val="TableParagraph"/>
              <w:rPr>
                <w:rFonts w:ascii="Times New Roman"/>
                <w:sz w:val="12"/>
              </w:rPr>
            </w:pPr>
          </w:p>
        </w:tc>
        <w:tc>
          <w:tcPr>
            <w:tcW w:w="640" w:type="dxa"/>
            <w:tcBorders>
              <w:bottom w:val="single" w:sz="8" w:space="0" w:color="000000"/>
            </w:tcBorders>
          </w:tcPr>
          <w:p>
            <w:pPr>
              <w:pStyle w:val="TableParagraph"/>
              <w:spacing w:line="154" w:lineRule="exact" w:before="17"/>
              <w:ind w:left="20"/>
              <w:rPr>
                <w:sz w:val="13"/>
              </w:rPr>
            </w:pPr>
            <w:r>
              <w:rPr>
                <w:sz w:val="13"/>
              </w:rPr>
              <w:t>N/A</w:t>
            </w:r>
          </w:p>
        </w:tc>
        <w:tc>
          <w:tcPr>
            <w:tcW w:w="640" w:type="dxa"/>
            <w:tcBorders>
              <w:bottom w:val="single" w:sz="8" w:space="0" w:color="000000"/>
            </w:tcBorders>
            <w:shd w:val="clear" w:color="auto" w:fill="FF0000"/>
          </w:tcPr>
          <w:p>
            <w:pPr>
              <w:pStyle w:val="TableParagraph"/>
              <w:rPr>
                <w:rFonts w:ascii="Times New Roman"/>
                <w:sz w:val="12"/>
              </w:rPr>
            </w:pPr>
          </w:p>
        </w:tc>
        <w:tc>
          <w:tcPr>
            <w:tcW w:w="675" w:type="dxa"/>
            <w:tcBorders>
              <w:bottom w:val="single" w:sz="8" w:space="0" w:color="000000"/>
            </w:tcBorders>
            <w:shd w:val="clear" w:color="auto" w:fill="FF0000"/>
          </w:tcPr>
          <w:p>
            <w:pPr>
              <w:pStyle w:val="TableParagraph"/>
              <w:rPr>
                <w:rFonts w:ascii="Times New Roman"/>
                <w:sz w:val="12"/>
              </w:rPr>
            </w:pPr>
          </w:p>
        </w:tc>
        <w:tc>
          <w:tcPr>
            <w:tcW w:w="705" w:type="dxa"/>
            <w:tcBorders>
              <w:bottom w:val="single" w:sz="8" w:space="0" w:color="000000"/>
              <w:right w:val="single" w:sz="8" w:space="0" w:color="000000"/>
            </w:tcBorders>
            <w:shd w:val="clear" w:color="auto" w:fill="FF0000"/>
          </w:tcPr>
          <w:p>
            <w:pPr>
              <w:pStyle w:val="TableParagraph"/>
              <w:rPr>
                <w:rFonts w:ascii="Times New Roman"/>
                <w:sz w:val="12"/>
              </w:rPr>
            </w:pPr>
          </w:p>
        </w:tc>
      </w:tr>
      <w:tr>
        <w:trPr>
          <w:trHeight w:val="675" w:hRule="atLeast"/>
        </w:trPr>
        <w:tc>
          <w:tcPr>
            <w:tcW w:w="1443" w:type="dxa"/>
            <w:vMerge w:val="restart"/>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7"/>
              <w:rPr>
                <w:sz w:val="11"/>
              </w:rPr>
            </w:pPr>
          </w:p>
          <w:p>
            <w:pPr>
              <w:pStyle w:val="TableParagraph"/>
              <w:spacing w:line="261" w:lineRule="auto"/>
              <w:ind w:left="20"/>
              <w:rPr>
                <w:b/>
                <w:sz w:val="13"/>
              </w:rPr>
            </w:pPr>
            <w:r>
              <w:rPr>
                <w:b/>
                <w:sz w:val="13"/>
              </w:rPr>
              <w:t>Chapter 6: Protecting Vulnerable People</w:t>
            </w:r>
          </w:p>
        </w:tc>
        <w:tc>
          <w:tcPr>
            <w:tcW w:w="2048" w:type="dxa"/>
            <w:tcBorders>
              <w:top w:val="single" w:sz="8" w:space="0" w:color="000000"/>
            </w:tcBorders>
          </w:tcPr>
          <w:p>
            <w:pPr>
              <w:pStyle w:val="TableParagraph"/>
              <w:rPr>
                <w:sz w:val="12"/>
              </w:rPr>
            </w:pPr>
          </w:p>
          <w:p>
            <w:pPr>
              <w:pStyle w:val="TableParagraph"/>
              <w:spacing w:before="7"/>
              <w:rPr>
                <w:sz w:val="9"/>
              </w:rPr>
            </w:pPr>
          </w:p>
          <w:p>
            <w:pPr>
              <w:pStyle w:val="TableParagraph"/>
              <w:ind w:left="21"/>
              <w:rPr>
                <w:sz w:val="13"/>
              </w:rPr>
            </w:pPr>
            <w:r>
              <w:rPr>
                <w:sz w:val="13"/>
              </w:rPr>
              <w:t>Adult Safeguarding</w:t>
            </w:r>
          </w:p>
        </w:tc>
        <w:tc>
          <w:tcPr>
            <w:tcW w:w="2152" w:type="dxa"/>
            <w:tcBorders>
              <w:top w:val="single" w:sz="8" w:space="0" w:color="000000"/>
            </w:tcBorders>
          </w:tcPr>
          <w:p>
            <w:pPr>
              <w:pStyle w:val="TableParagraph"/>
              <w:numPr>
                <w:ilvl w:val="0"/>
                <w:numId w:val="59"/>
              </w:numPr>
              <w:tabs>
                <w:tab w:pos="195" w:val="left" w:leader="none"/>
              </w:tabs>
              <w:spacing w:line="240" w:lineRule="auto" w:before="4" w:after="0"/>
              <w:ind w:left="194" w:right="0" w:hanging="174"/>
              <w:jc w:val="left"/>
              <w:rPr>
                <w:sz w:val="13"/>
              </w:rPr>
            </w:pPr>
            <w:r>
              <w:rPr>
                <w:sz w:val="13"/>
              </w:rPr>
              <w:t>Criminal exploitation</w:t>
            </w:r>
            <w:r>
              <w:rPr>
                <w:spacing w:val="1"/>
                <w:sz w:val="13"/>
              </w:rPr>
              <w:t> </w:t>
            </w:r>
            <w:r>
              <w:rPr>
                <w:sz w:val="13"/>
              </w:rPr>
              <w:t>(adults)</w:t>
            </w:r>
          </w:p>
          <w:p>
            <w:pPr>
              <w:pStyle w:val="TableParagraph"/>
              <w:numPr>
                <w:ilvl w:val="0"/>
                <w:numId w:val="59"/>
              </w:numPr>
              <w:tabs>
                <w:tab w:pos="195" w:val="left" w:leader="none"/>
              </w:tabs>
              <w:spacing w:line="240" w:lineRule="auto" w:before="15" w:after="0"/>
              <w:ind w:left="194" w:right="0" w:hanging="174"/>
              <w:jc w:val="left"/>
              <w:rPr>
                <w:sz w:val="13"/>
              </w:rPr>
            </w:pPr>
            <w:r>
              <w:rPr>
                <w:spacing w:val="2"/>
                <w:sz w:val="13"/>
              </w:rPr>
              <w:t>All </w:t>
            </w:r>
            <w:r>
              <w:rPr>
                <w:sz w:val="13"/>
              </w:rPr>
              <w:t>crime against</w:t>
            </w:r>
            <w:r>
              <w:rPr>
                <w:spacing w:val="-5"/>
                <w:sz w:val="13"/>
              </w:rPr>
              <w:t> </w:t>
            </w:r>
            <w:r>
              <w:rPr>
                <w:spacing w:val="-4"/>
                <w:sz w:val="13"/>
              </w:rPr>
              <w:t>65+</w:t>
            </w:r>
          </w:p>
          <w:p>
            <w:pPr>
              <w:pStyle w:val="TableParagraph"/>
              <w:numPr>
                <w:ilvl w:val="0"/>
                <w:numId w:val="59"/>
              </w:numPr>
              <w:tabs>
                <w:tab w:pos="195" w:val="left" w:leader="none"/>
              </w:tabs>
              <w:spacing w:line="170" w:lineRule="atLeast" w:before="2" w:after="0"/>
              <w:ind w:left="21" w:right="343" w:firstLine="0"/>
              <w:jc w:val="left"/>
              <w:rPr>
                <w:sz w:val="13"/>
              </w:rPr>
            </w:pPr>
            <w:r>
              <w:rPr>
                <w:sz w:val="13"/>
              </w:rPr>
              <w:t>Sexual exploitation and abuse (adults)</w:t>
            </w:r>
          </w:p>
        </w:tc>
        <w:tc>
          <w:tcPr>
            <w:tcW w:w="640" w:type="dxa"/>
            <w:tcBorders>
              <w:top w:val="single" w:sz="8" w:space="0" w:color="000000"/>
            </w:tcBorders>
            <w:shd w:val="clear" w:color="auto" w:fill="6FAC46"/>
          </w:tcPr>
          <w:p>
            <w:pPr>
              <w:pStyle w:val="TableParagraph"/>
              <w:rPr>
                <w:rFonts w:ascii="Times New Roman"/>
                <w:sz w:val="12"/>
              </w:rPr>
            </w:pPr>
          </w:p>
        </w:tc>
        <w:tc>
          <w:tcPr>
            <w:tcW w:w="640" w:type="dxa"/>
            <w:tcBorders>
              <w:top w:val="single" w:sz="8" w:space="0" w:color="000000"/>
            </w:tcBorders>
            <w:shd w:val="clear" w:color="auto" w:fill="FFFF00"/>
          </w:tcPr>
          <w:p>
            <w:pPr>
              <w:pStyle w:val="TableParagraph"/>
              <w:rPr>
                <w:rFonts w:ascii="Times New Roman"/>
                <w:sz w:val="12"/>
              </w:rPr>
            </w:pPr>
          </w:p>
        </w:tc>
        <w:tc>
          <w:tcPr>
            <w:tcW w:w="640" w:type="dxa"/>
            <w:tcBorders>
              <w:top w:val="single" w:sz="8" w:space="0" w:color="000000"/>
            </w:tcBorders>
            <w:shd w:val="clear" w:color="auto" w:fill="FFC000"/>
          </w:tcPr>
          <w:p>
            <w:pPr>
              <w:pStyle w:val="TableParagraph"/>
              <w:spacing w:before="91"/>
              <w:ind w:left="20"/>
              <w:rPr>
                <w:sz w:val="13"/>
              </w:rPr>
            </w:pPr>
            <w:r>
              <w:rPr>
                <w:sz w:val="13"/>
              </w:rPr>
              <w:t>(1) 22.5</w:t>
            </w:r>
          </w:p>
          <w:p>
            <w:pPr>
              <w:pStyle w:val="TableParagraph"/>
              <w:spacing w:before="14"/>
              <w:ind w:left="20"/>
              <w:rPr>
                <w:sz w:val="13"/>
              </w:rPr>
            </w:pPr>
            <w:r>
              <w:rPr>
                <w:sz w:val="13"/>
              </w:rPr>
              <w:t>(2) 33</w:t>
            </w:r>
          </w:p>
          <w:p>
            <w:pPr>
              <w:pStyle w:val="TableParagraph"/>
              <w:spacing w:before="14"/>
              <w:ind w:left="20"/>
              <w:rPr>
                <w:sz w:val="13"/>
              </w:rPr>
            </w:pPr>
            <w:r>
              <w:rPr>
                <w:sz w:val="13"/>
              </w:rPr>
              <w:t>(3) 23.75</w:t>
            </w:r>
          </w:p>
        </w:tc>
        <w:tc>
          <w:tcPr>
            <w:tcW w:w="640" w:type="dxa"/>
            <w:tcBorders>
              <w:top w:val="single" w:sz="8" w:space="0" w:color="000000"/>
            </w:tcBorders>
            <w:shd w:val="clear" w:color="auto" w:fill="FFC000"/>
          </w:tcPr>
          <w:p>
            <w:pPr>
              <w:pStyle w:val="TableParagraph"/>
              <w:rPr>
                <w:rFonts w:ascii="Times New Roman"/>
                <w:sz w:val="12"/>
              </w:rPr>
            </w:pPr>
          </w:p>
        </w:tc>
        <w:tc>
          <w:tcPr>
            <w:tcW w:w="675" w:type="dxa"/>
            <w:tcBorders>
              <w:top w:val="single" w:sz="8" w:space="0" w:color="000000"/>
            </w:tcBorders>
            <w:shd w:val="clear" w:color="auto" w:fill="FFC000"/>
          </w:tcPr>
          <w:p>
            <w:pPr>
              <w:pStyle w:val="TableParagraph"/>
              <w:rPr>
                <w:rFonts w:ascii="Times New Roman"/>
                <w:sz w:val="12"/>
              </w:rPr>
            </w:pPr>
          </w:p>
        </w:tc>
        <w:tc>
          <w:tcPr>
            <w:tcW w:w="705" w:type="dxa"/>
            <w:tcBorders>
              <w:top w:val="single" w:sz="8" w:space="0" w:color="000000"/>
              <w:right w:val="single" w:sz="8" w:space="0" w:color="000000"/>
            </w:tcBorders>
            <w:shd w:val="clear" w:color="auto" w:fill="FFC000"/>
          </w:tcPr>
          <w:p>
            <w:pPr>
              <w:pStyle w:val="TableParagraph"/>
              <w:rPr>
                <w:rFonts w:ascii="Times New Roman"/>
                <w:sz w:val="12"/>
              </w:rPr>
            </w:pPr>
          </w:p>
        </w:tc>
      </w:tr>
      <w:tr>
        <w:trPr>
          <w:trHeight w:val="1015" w:hRule="atLeast"/>
        </w:trPr>
        <w:tc>
          <w:tcPr>
            <w:tcW w:w="1443" w:type="dxa"/>
            <w:vMerge/>
            <w:tcBorders>
              <w:top w:val="nil"/>
              <w:bottom w:val="single" w:sz="8" w:space="0" w:color="000000"/>
            </w:tcBorders>
          </w:tcPr>
          <w:p>
            <w:pPr>
              <w:rPr>
                <w:sz w:val="2"/>
                <w:szCs w:val="2"/>
              </w:rPr>
            </w:pPr>
          </w:p>
        </w:tc>
        <w:tc>
          <w:tcPr>
            <w:tcW w:w="2048" w:type="dxa"/>
          </w:tcPr>
          <w:p>
            <w:pPr>
              <w:pStyle w:val="TableParagraph"/>
              <w:rPr>
                <w:sz w:val="12"/>
              </w:rPr>
            </w:pPr>
          </w:p>
          <w:p>
            <w:pPr>
              <w:pStyle w:val="TableParagraph"/>
              <w:rPr>
                <w:sz w:val="12"/>
              </w:rPr>
            </w:pPr>
          </w:p>
          <w:p>
            <w:pPr>
              <w:pStyle w:val="TableParagraph"/>
              <w:spacing w:before="2"/>
              <w:rPr>
                <w:sz w:val="11"/>
              </w:rPr>
            </w:pPr>
          </w:p>
          <w:p>
            <w:pPr>
              <w:pStyle w:val="TableParagraph"/>
              <w:spacing w:before="1"/>
              <w:ind w:left="21"/>
              <w:rPr>
                <w:sz w:val="13"/>
              </w:rPr>
            </w:pPr>
            <w:r>
              <w:rPr>
                <w:sz w:val="13"/>
              </w:rPr>
              <w:t>Child Safeguarding</w:t>
            </w:r>
          </w:p>
        </w:tc>
        <w:tc>
          <w:tcPr>
            <w:tcW w:w="2152" w:type="dxa"/>
          </w:tcPr>
          <w:p>
            <w:pPr>
              <w:pStyle w:val="TableParagraph"/>
              <w:numPr>
                <w:ilvl w:val="0"/>
                <w:numId w:val="60"/>
              </w:numPr>
              <w:tabs>
                <w:tab w:pos="195" w:val="left" w:leader="none"/>
              </w:tabs>
              <w:spacing w:line="157" w:lineRule="exact" w:before="0" w:after="0"/>
              <w:ind w:left="194" w:right="0" w:hanging="174"/>
              <w:jc w:val="left"/>
              <w:rPr>
                <w:sz w:val="13"/>
              </w:rPr>
            </w:pPr>
            <w:r>
              <w:rPr>
                <w:spacing w:val="2"/>
                <w:sz w:val="13"/>
              </w:rPr>
              <w:t>All </w:t>
            </w:r>
            <w:r>
              <w:rPr>
                <w:sz w:val="13"/>
              </w:rPr>
              <w:t>crimes against</w:t>
            </w:r>
            <w:r>
              <w:rPr>
                <w:spacing w:val="-7"/>
                <w:sz w:val="13"/>
              </w:rPr>
              <w:t> </w:t>
            </w:r>
            <w:r>
              <w:rPr>
                <w:sz w:val="13"/>
              </w:rPr>
              <w:t>children</w:t>
            </w:r>
          </w:p>
          <w:p>
            <w:pPr>
              <w:pStyle w:val="TableParagraph"/>
              <w:numPr>
                <w:ilvl w:val="0"/>
                <w:numId w:val="60"/>
              </w:numPr>
              <w:tabs>
                <w:tab w:pos="195" w:val="left" w:leader="none"/>
              </w:tabs>
              <w:spacing w:line="240" w:lineRule="auto" w:before="14" w:after="0"/>
              <w:ind w:left="194" w:right="0" w:hanging="174"/>
              <w:jc w:val="left"/>
              <w:rPr>
                <w:sz w:val="13"/>
              </w:rPr>
            </w:pPr>
            <w:r>
              <w:rPr>
                <w:sz w:val="13"/>
              </w:rPr>
              <w:t>Criminal exploitation of</w:t>
            </w:r>
            <w:r>
              <w:rPr>
                <w:spacing w:val="5"/>
                <w:sz w:val="13"/>
              </w:rPr>
              <w:t> </w:t>
            </w:r>
            <w:r>
              <w:rPr>
                <w:sz w:val="13"/>
              </w:rPr>
              <w:t>children</w:t>
            </w:r>
          </w:p>
          <w:p>
            <w:pPr>
              <w:pStyle w:val="TableParagraph"/>
              <w:numPr>
                <w:ilvl w:val="0"/>
                <w:numId w:val="60"/>
              </w:numPr>
              <w:tabs>
                <w:tab w:pos="195" w:val="left" w:leader="none"/>
              </w:tabs>
              <w:spacing w:line="240" w:lineRule="auto" w:before="14" w:after="0"/>
              <w:ind w:left="194" w:right="0" w:hanging="174"/>
              <w:jc w:val="left"/>
              <w:rPr>
                <w:sz w:val="13"/>
              </w:rPr>
            </w:pPr>
            <w:r>
              <w:rPr>
                <w:sz w:val="13"/>
              </w:rPr>
              <w:t>Child</w:t>
            </w:r>
            <w:r>
              <w:rPr>
                <w:spacing w:val="-3"/>
                <w:sz w:val="13"/>
              </w:rPr>
              <w:t> </w:t>
            </w:r>
            <w:r>
              <w:rPr>
                <w:sz w:val="13"/>
              </w:rPr>
              <w:t>Neglect</w:t>
            </w:r>
          </w:p>
          <w:p>
            <w:pPr>
              <w:pStyle w:val="TableParagraph"/>
              <w:numPr>
                <w:ilvl w:val="0"/>
                <w:numId w:val="60"/>
              </w:numPr>
              <w:tabs>
                <w:tab w:pos="195" w:val="left" w:leader="none"/>
              </w:tabs>
              <w:spacing w:line="261" w:lineRule="auto" w:before="14" w:after="0"/>
              <w:ind w:left="21" w:right="356" w:firstLine="0"/>
              <w:jc w:val="left"/>
              <w:rPr>
                <w:sz w:val="13"/>
              </w:rPr>
            </w:pPr>
            <w:r>
              <w:rPr>
                <w:sz w:val="13"/>
              </w:rPr>
              <w:t>Sexual Exploitation (child non famialial)</w:t>
            </w:r>
          </w:p>
          <w:p>
            <w:pPr>
              <w:pStyle w:val="TableParagraph"/>
              <w:numPr>
                <w:ilvl w:val="0"/>
                <w:numId w:val="60"/>
              </w:numPr>
              <w:tabs>
                <w:tab w:pos="195" w:val="left" w:leader="none"/>
              </w:tabs>
              <w:spacing w:line="133" w:lineRule="exact" w:before="0" w:after="0"/>
              <w:ind w:left="194" w:right="0" w:hanging="174"/>
              <w:jc w:val="left"/>
              <w:rPr>
                <w:sz w:val="13"/>
              </w:rPr>
            </w:pPr>
            <w:r>
              <w:rPr>
                <w:sz w:val="13"/>
              </w:rPr>
              <w:t>Sexual abuse (child</w:t>
            </w:r>
            <w:r>
              <w:rPr>
                <w:spacing w:val="3"/>
                <w:sz w:val="13"/>
              </w:rPr>
              <w:t> </w:t>
            </w:r>
            <w:r>
              <w:rPr>
                <w:sz w:val="13"/>
              </w:rPr>
              <w:t>famialial)</w:t>
            </w:r>
          </w:p>
        </w:tc>
        <w:tc>
          <w:tcPr>
            <w:tcW w:w="640" w:type="dxa"/>
            <w:shd w:val="clear" w:color="auto" w:fill="FF0000"/>
          </w:tcPr>
          <w:p>
            <w:pPr>
              <w:pStyle w:val="TableParagraph"/>
              <w:rPr>
                <w:rFonts w:ascii="Times New Roman"/>
                <w:sz w:val="12"/>
              </w:rPr>
            </w:pPr>
          </w:p>
        </w:tc>
        <w:tc>
          <w:tcPr>
            <w:tcW w:w="640" w:type="dxa"/>
            <w:shd w:val="clear" w:color="auto" w:fill="FF0000"/>
          </w:tcPr>
          <w:p>
            <w:pPr>
              <w:pStyle w:val="TableParagraph"/>
              <w:rPr>
                <w:rFonts w:ascii="Times New Roman"/>
                <w:sz w:val="12"/>
              </w:rPr>
            </w:pPr>
          </w:p>
        </w:tc>
        <w:tc>
          <w:tcPr>
            <w:tcW w:w="640" w:type="dxa"/>
            <w:shd w:val="clear" w:color="auto" w:fill="FF0000"/>
          </w:tcPr>
          <w:p>
            <w:pPr>
              <w:pStyle w:val="TableParagraph"/>
              <w:spacing w:before="84"/>
              <w:ind w:left="20"/>
              <w:rPr>
                <w:sz w:val="13"/>
              </w:rPr>
            </w:pPr>
            <w:r>
              <w:rPr>
                <w:sz w:val="13"/>
              </w:rPr>
              <w:t>(1) 16.5</w:t>
            </w:r>
          </w:p>
          <w:p>
            <w:pPr>
              <w:pStyle w:val="TableParagraph"/>
              <w:spacing w:before="14"/>
              <w:ind w:left="20"/>
              <w:rPr>
                <w:sz w:val="13"/>
              </w:rPr>
            </w:pPr>
            <w:r>
              <w:rPr>
                <w:sz w:val="13"/>
              </w:rPr>
              <w:t>(2)</w:t>
            </w:r>
            <w:r>
              <w:rPr>
                <w:spacing w:val="-3"/>
                <w:sz w:val="13"/>
              </w:rPr>
              <w:t> </w:t>
            </w:r>
            <w:r>
              <w:rPr>
                <w:spacing w:val="-5"/>
                <w:sz w:val="13"/>
              </w:rPr>
              <w:t>20.25</w:t>
            </w:r>
          </w:p>
          <w:p>
            <w:pPr>
              <w:pStyle w:val="TableParagraph"/>
              <w:spacing w:before="14"/>
              <w:ind w:left="20"/>
              <w:rPr>
                <w:sz w:val="13"/>
              </w:rPr>
            </w:pPr>
            <w:r>
              <w:rPr>
                <w:sz w:val="13"/>
              </w:rPr>
              <w:t>(3)</w:t>
            </w:r>
            <w:r>
              <w:rPr>
                <w:spacing w:val="-3"/>
                <w:sz w:val="13"/>
              </w:rPr>
              <w:t> </w:t>
            </w:r>
            <w:r>
              <w:rPr>
                <w:spacing w:val="-5"/>
                <w:sz w:val="13"/>
              </w:rPr>
              <w:t>29.75</w:t>
            </w:r>
          </w:p>
          <w:p>
            <w:pPr>
              <w:pStyle w:val="TableParagraph"/>
              <w:spacing w:before="15"/>
              <w:ind w:left="20"/>
              <w:rPr>
                <w:sz w:val="13"/>
              </w:rPr>
            </w:pPr>
            <w:r>
              <w:rPr>
                <w:sz w:val="13"/>
              </w:rPr>
              <w:t>(4) 34</w:t>
            </w:r>
          </w:p>
          <w:p>
            <w:pPr>
              <w:pStyle w:val="TableParagraph"/>
              <w:spacing w:before="14"/>
              <w:ind w:left="20"/>
              <w:rPr>
                <w:sz w:val="13"/>
              </w:rPr>
            </w:pPr>
            <w:r>
              <w:rPr>
                <w:sz w:val="13"/>
              </w:rPr>
              <w:t>(5) 29.75</w:t>
            </w:r>
          </w:p>
        </w:tc>
        <w:tc>
          <w:tcPr>
            <w:tcW w:w="640" w:type="dxa"/>
            <w:shd w:val="clear" w:color="auto" w:fill="FFC000"/>
          </w:tcPr>
          <w:p>
            <w:pPr>
              <w:pStyle w:val="TableParagraph"/>
              <w:rPr>
                <w:rFonts w:ascii="Times New Roman"/>
                <w:sz w:val="12"/>
              </w:rPr>
            </w:pPr>
          </w:p>
        </w:tc>
        <w:tc>
          <w:tcPr>
            <w:tcW w:w="675" w:type="dxa"/>
            <w:shd w:val="clear" w:color="auto" w:fill="FFC000"/>
          </w:tcPr>
          <w:p>
            <w:pPr>
              <w:pStyle w:val="TableParagraph"/>
              <w:rPr>
                <w:rFonts w:ascii="Times New Roman"/>
                <w:sz w:val="12"/>
              </w:rPr>
            </w:pPr>
          </w:p>
        </w:tc>
        <w:tc>
          <w:tcPr>
            <w:tcW w:w="705" w:type="dxa"/>
            <w:tcBorders>
              <w:right w:val="single" w:sz="8" w:space="0" w:color="000000"/>
            </w:tcBorders>
            <w:shd w:val="clear" w:color="auto" w:fill="FF0000"/>
          </w:tcPr>
          <w:p>
            <w:pPr>
              <w:pStyle w:val="TableParagraph"/>
              <w:rPr>
                <w:rFonts w:ascii="Times New Roman"/>
                <w:sz w:val="12"/>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3" w:lineRule="exact"/>
              <w:ind w:left="21"/>
              <w:rPr>
                <w:sz w:val="13"/>
              </w:rPr>
            </w:pPr>
            <w:r>
              <w:rPr>
                <w:sz w:val="13"/>
              </w:rPr>
              <w:t>Domestic Abuse</w:t>
            </w:r>
          </w:p>
        </w:tc>
        <w:tc>
          <w:tcPr>
            <w:tcW w:w="2152" w:type="dxa"/>
          </w:tcPr>
          <w:p>
            <w:pPr>
              <w:pStyle w:val="TableParagraph"/>
              <w:spacing w:line="133" w:lineRule="exact"/>
              <w:ind w:left="21"/>
              <w:rPr>
                <w:sz w:val="13"/>
              </w:rPr>
            </w:pPr>
            <w:r>
              <w:rPr>
                <w:sz w:val="13"/>
              </w:rPr>
              <w:t>Domestic Abuse</w:t>
            </w:r>
          </w:p>
        </w:tc>
        <w:tc>
          <w:tcPr>
            <w:tcW w:w="640" w:type="dxa"/>
            <w:shd w:val="clear" w:color="auto" w:fill="FFC000"/>
          </w:tcPr>
          <w:p>
            <w:pPr>
              <w:pStyle w:val="TableParagraph"/>
              <w:rPr>
                <w:rFonts w:ascii="Times New Roman"/>
                <w:sz w:val="8"/>
              </w:rPr>
            </w:pPr>
          </w:p>
        </w:tc>
        <w:tc>
          <w:tcPr>
            <w:tcW w:w="640" w:type="dxa"/>
            <w:shd w:val="clear" w:color="auto" w:fill="FFC000"/>
          </w:tcPr>
          <w:p>
            <w:pPr>
              <w:pStyle w:val="TableParagraph"/>
              <w:rPr>
                <w:rFonts w:ascii="Times New Roman"/>
                <w:sz w:val="8"/>
              </w:rPr>
            </w:pPr>
          </w:p>
        </w:tc>
        <w:tc>
          <w:tcPr>
            <w:tcW w:w="640" w:type="dxa"/>
            <w:shd w:val="clear" w:color="auto" w:fill="FFC000"/>
          </w:tcPr>
          <w:p>
            <w:pPr>
              <w:pStyle w:val="TableParagraph"/>
              <w:spacing w:line="133" w:lineRule="exact"/>
              <w:ind w:left="20"/>
              <w:rPr>
                <w:sz w:val="13"/>
              </w:rPr>
            </w:pPr>
            <w:r>
              <w:rPr>
                <w:sz w:val="13"/>
              </w:rPr>
              <w:t>42</w:t>
            </w:r>
          </w:p>
        </w:tc>
        <w:tc>
          <w:tcPr>
            <w:tcW w:w="640" w:type="dxa"/>
            <w:shd w:val="clear" w:color="auto" w:fill="FFC000"/>
          </w:tcPr>
          <w:p>
            <w:pPr>
              <w:pStyle w:val="TableParagraph"/>
              <w:rPr>
                <w:rFonts w:ascii="Times New Roman"/>
                <w:sz w:val="8"/>
              </w:rPr>
            </w:pPr>
          </w:p>
        </w:tc>
        <w:tc>
          <w:tcPr>
            <w:tcW w:w="675" w:type="dxa"/>
            <w:shd w:val="clear" w:color="auto" w:fill="FFC000"/>
          </w:tcPr>
          <w:p>
            <w:pPr>
              <w:pStyle w:val="TableParagraph"/>
              <w:rPr>
                <w:rFonts w:ascii="Times New Roman"/>
                <w:sz w:val="8"/>
              </w:rPr>
            </w:pPr>
          </w:p>
        </w:tc>
        <w:tc>
          <w:tcPr>
            <w:tcW w:w="705" w:type="dxa"/>
            <w:tcBorders>
              <w:right w:val="single" w:sz="8" w:space="0" w:color="000000"/>
            </w:tcBorders>
            <w:shd w:val="clear" w:color="auto" w:fill="FFC000"/>
          </w:tcPr>
          <w:p>
            <w:pPr>
              <w:pStyle w:val="TableParagraph"/>
              <w:rPr>
                <w:rFonts w:ascii="Times New Roman"/>
                <w:sz w:val="8"/>
              </w:rPr>
            </w:pPr>
          </w:p>
        </w:tc>
      </w:tr>
      <w:tr>
        <w:trPr>
          <w:trHeight w:val="498"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261" w:lineRule="auto"/>
              <w:ind w:left="21" w:right="220"/>
              <w:rPr>
                <w:sz w:val="13"/>
              </w:rPr>
            </w:pPr>
            <w:r>
              <w:rPr>
                <w:sz w:val="13"/>
              </w:rPr>
              <w:t>Honour Based Abuse/Violence, Female Genital Mutilation and</w:t>
            </w:r>
          </w:p>
          <w:p>
            <w:pPr>
              <w:pStyle w:val="TableParagraph"/>
              <w:spacing w:line="132" w:lineRule="exact"/>
              <w:ind w:left="21"/>
              <w:rPr>
                <w:sz w:val="13"/>
              </w:rPr>
            </w:pPr>
            <w:r>
              <w:rPr>
                <w:sz w:val="13"/>
              </w:rPr>
              <w:t>Forced Marriage</w:t>
            </w:r>
          </w:p>
        </w:tc>
        <w:tc>
          <w:tcPr>
            <w:tcW w:w="2152" w:type="dxa"/>
          </w:tcPr>
          <w:p>
            <w:pPr>
              <w:pStyle w:val="TableParagraph"/>
              <w:spacing w:line="261" w:lineRule="auto" w:before="87"/>
              <w:ind w:left="21" w:right="5"/>
              <w:rPr>
                <w:sz w:val="13"/>
              </w:rPr>
            </w:pPr>
            <w:r>
              <w:rPr>
                <w:sz w:val="13"/>
              </w:rPr>
              <w:t>Honour Based Abuse/Violence, Female Genital Mutilation and Forced Marriage</w:t>
            </w:r>
          </w:p>
        </w:tc>
        <w:tc>
          <w:tcPr>
            <w:tcW w:w="640" w:type="dxa"/>
            <w:shd w:val="clear" w:color="auto" w:fill="6FAC46"/>
          </w:tcPr>
          <w:p>
            <w:pPr>
              <w:pStyle w:val="TableParagraph"/>
              <w:rPr>
                <w:rFonts w:ascii="Times New Roman"/>
                <w:sz w:val="12"/>
              </w:rPr>
            </w:pPr>
          </w:p>
        </w:tc>
        <w:tc>
          <w:tcPr>
            <w:tcW w:w="640" w:type="dxa"/>
            <w:shd w:val="clear" w:color="auto" w:fill="6FAC46"/>
          </w:tcPr>
          <w:p>
            <w:pPr>
              <w:pStyle w:val="TableParagraph"/>
              <w:rPr>
                <w:rFonts w:ascii="Times New Roman"/>
                <w:sz w:val="12"/>
              </w:rPr>
            </w:pPr>
          </w:p>
        </w:tc>
        <w:tc>
          <w:tcPr>
            <w:tcW w:w="640" w:type="dxa"/>
            <w:shd w:val="clear" w:color="auto" w:fill="FFFF00"/>
          </w:tcPr>
          <w:p>
            <w:pPr>
              <w:pStyle w:val="TableParagraph"/>
              <w:spacing w:before="2"/>
              <w:rPr>
                <w:sz w:val="14"/>
              </w:rPr>
            </w:pPr>
          </w:p>
          <w:p>
            <w:pPr>
              <w:pStyle w:val="TableParagraph"/>
              <w:ind w:left="20"/>
              <w:rPr>
                <w:sz w:val="13"/>
              </w:rPr>
            </w:pPr>
            <w:r>
              <w:rPr>
                <w:sz w:val="13"/>
              </w:rPr>
              <w:t>26.25</w:t>
            </w:r>
          </w:p>
        </w:tc>
        <w:tc>
          <w:tcPr>
            <w:tcW w:w="640" w:type="dxa"/>
            <w:shd w:val="clear" w:color="auto" w:fill="6FAC46"/>
          </w:tcPr>
          <w:p>
            <w:pPr>
              <w:pStyle w:val="TableParagraph"/>
              <w:rPr>
                <w:rFonts w:ascii="Times New Roman"/>
                <w:sz w:val="12"/>
              </w:rPr>
            </w:pPr>
          </w:p>
        </w:tc>
        <w:tc>
          <w:tcPr>
            <w:tcW w:w="675" w:type="dxa"/>
            <w:shd w:val="clear" w:color="auto" w:fill="6FAC46"/>
          </w:tcPr>
          <w:p>
            <w:pPr>
              <w:pStyle w:val="TableParagraph"/>
              <w:rPr>
                <w:rFonts w:ascii="Times New Roman"/>
                <w:sz w:val="12"/>
              </w:rPr>
            </w:pPr>
          </w:p>
        </w:tc>
        <w:tc>
          <w:tcPr>
            <w:tcW w:w="705" w:type="dxa"/>
            <w:tcBorders>
              <w:right w:val="single" w:sz="8" w:space="0" w:color="000000"/>
            </w:tcBorders>
            <w:shd w:val="clear" w:color="auto" w:fill="6FAC46"/>
          </w:tcPr>
          <w:p>
            <w:pPr>
              <w:pStyle w:val="TableParagraph"/>
              <w:rPr>
                <w:rFonts w:ascii="Times New Roman"/>
                <w:sz w:val="12"/>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3" w:lineRule="exact"/>
              <w:ind w:left="21"/>
              <w:rPr>
                <w:sz w:val="13"/>
              </w:rPr>
            </w:pPr>
            <w:r>
              <w:rPr>
                <w:sz w:val="13"/>
              </w:rPr>
              <w:t>Missing Persons</w:t>
            </w:r>
          </w:p>
        </w:tc>
        <w:tc>
          <w:tcPr>
            <w:tcW w:w="2152" w:type="dxa"/>
          </w:tcPr>
          <w:p>
            <w:pPr>
              <w:pStyle w:val="TableParagraph"/>
              <w:spacing w:line="133" w:lineRule="exact"/>
              <w:ind w:left="21"/>
              <w:rPr>
                <w:sz w:val="13"/>
              </w:rPr>
            </w:pPr>
            <w:r>
              <w:rPr>
                <w:sz w:val="13"/>
              </w:rPr>
              <w:t>Missing Persons</w:t>
            </w:r>
          </w:p>
        </w:tc>
        <w:tc>
          <w:tcPr>
            <w:tcW w:w="640" w:type="dxa"/>
            <w:shd w:val="clear" w:color="auto" w:fill="6FAC46"/>
          </w:tcPr>
          <w:p>
            <w:pPr>
              <w:pStyle w:val="TableParagraph"/>
              <w:rPr>
                <w:rFonts w:ascii="Times New Roman"/>
                <w:sz w:val="8"/>
              </w:rPr>
            </w:pPr>
          </w:p>
        </w:tc>
        <w:tc>
          <w:tcPr>
            <w:tcW w:w="640" w:type="dxa"/>
            <w:shd w:val="clear" w:color="auto" w:fill="FFFF00"/>
          </w:tcPr>
          <w:p>
            <w:pPr>
              <w:pStyle w:val="TableParagraph"/>
              <w:rPr>
                <w:rFonts w:ascii="Times New Roman"/>
                <w:sz w:val="8"/>
              </w:rPr>
            </w:pPr>
          </w:p>
        </w:tc>
        <w:tc>
          <w:tcPr>
            <w:tcW w:w="640" w:type="dxa"/>
            <w:shd w:val="clear" w:color="auto" w:fill="6FAC46"/>
          </w:tcPr>
          <w:p>
            <w:pPr>
              <w:pStyle w:val="TableParagraph"/>
              <w:spacing w:line="133" w:lineRule="exact"/>
              <w:ind w:left="20"/>
              <w:rPr>
                <w:sz w:val="13"/>
              </w:rPr>
            </w:pPr>
            <w:r>
              <w:rPr>
                <w:sz w:val="13"/>
              </w:rPr>
              <w:t>5.25</w:t>
            </w:r>
          </w:p>
        </w:tc>
        <w:tc>
          <w:tcPr>
            <w:tcW w:w="640" w:type="dxa"/>
            <w:shd w:val="clear" w:color="auto" w:fill="FFC000"/>
          </w:tcPr>
          <w:p>
            <w:pPr>
              <w:pStyle w:val="TableParagraph"/>
              <w:rPr>
                <w:rFonts w:ascii="Times New Roman"/>
                <w:sz w:val="8"/>
              </w:rPr>
            </w:pPr>
          </w:p>
        </w:tc>
        <w:tc>
          <w:tcPr>
            <w:tcW w:w="675" w:type="dxa"/>
            <w:shd w:val="clear" w:color="auto" w:fill="FFC000"/>
          </w:tcPr>
          <w:p>
            <w:pPr>
              <w:pStyle w:val="TableParagraph"/>
              <w:rPr>
                <w:rFonts w:ascii="Times New Roman"/>
                <w:sz w:val="8"/>
              </w:rPr>
            </w:pPr>
          </w:p>
        </w:tc>
        <w:tc>
          <w:tcPr>
            <w:tcW w:w="705" w:type="dxa"/>
            <w:tcBorders>
              <w:right w:val="single" w:sz="8" w:space="0" w:color="000000"/>
            </w:tcBorders>
            <w:shd w:val="clear" w:color="auto" w:fill="FFC000"/>
          </w:tcPr>
          <w:p>
            <w:pPr>
              <w:pStyle w:val="TableParagraph"/>
              <w:rPr>
                <w:rFonts w:ascii="Times New Roman"/>
                <w:sz w:val="8"/>
              </w:rPr>
            </w:pPr>
          </w:p>
        </w:tc>
      </w:tr>
      <w:tr>
        <w:trPr>
          <w:trHeight w:val="325" w:hRule="atLeast"/>
        </w:trPr>
        <w:tc>
          <w:tcPr>
            <w:tcW w:w="1443" w:type="dxa"/>
            <w:vMerge/>
            <w:tcBorders>
              <w:top w:val="nil"/>
              <w:bottom w:val="single" w:sz="8" w:space="0" w:color="000000"/>
            </w:tcBorders>
          </w:tcPr>
          <w:p>
            <w:pPr>
              <w:rPr>
                <w:sz w:val="2"/>
                <w:szCs w:val="2"/>
              </w:rPr>
            </w:pPr>
          </w:p>
        </w:tc>
        <w:tc>
          <w:tcPr>
            <w:tcW w:w="2048" w:type="dxa"/>
          </w:tcPr>
          <w:p>
            <w:pPr>
              <w:pStyle w:val="TableParagraph"/>
              <w:ind w:left="21"/>
              <w:rPr>
                <w:sz w:val="13"/>
              </w:rPr>
            </w:pPr>
            <w:r>
              <w:rPr>
                <w:sz w:val="13"/>
              </w:rPr>
              <w:t>Modern Slavery and Human</w:t>
            </w:r>
          </w:p>
          <w:p>
            <w:pPr>
              <w:pStyle w:val="TableParagraph"/>
              <w:spacing w:line="133" w:lineRule="exact" w:before="14"/>
              <w:ind w:left="21"/>
              <w:rPr>
                <w:sz w:val="13"/>
              </w:rPr>
            </w:pPr>
            <w:r>
              <w:rPr>
                <w:sz w:val="13"/>
              </w:rPr>
              <w:t>Trafficking</w:t>
            </w:r>
          </w:p>
        </w:tc>
        <w:tc>
          <w:tcPr>
            <w:tcW w:w="2152" w:type="dxa"/>
          </w:tcPr>
          <w:p>
            <w:pPr>
              <w:pStyle w:val="TableParagraph"/>
              <w:spacing w:before="87"/>
              <w:ind w:left="21"/>
              <w:rPr>
                <w:sz w:val="13"/>
              </w:rPr>
            </w:pPr>
            <w:r>
              <w:rPr>
                <w:sz w:val="13"/>
              </w:rPr>
              <w:t>Modern Slavery and Human Trafficking</w:t>
            </w:r>
          </w:p>
        </w:tc>
        <w:tc>
          <w:tcPr>
            <w:tcW w:w="640" w:type="dxa"/>
            <w:shd w:val="clear" w:color="auto" w:fill="6FAC46"/>
          </w:tcPr>
          <w:p>
            <w:pPr>
              <w:pStyle w:val="TableParagraph"/>
              <w:rPr>
                <w:rFonts w:ascii="Times New Roman"/>
                <w:sz w:val="12"/>
              </w:rPr>
            </w:pPr>
          </w:p>
        </w:tc>
        <w:tc>
          <w:tcPr>
            <w:tcW w:w="640" w:type="dxa"/>
            <w:shd w:val="clear" w:color="auto" w:fill="FFFF00"/>
          </w:tcPr>
          <w:p>
            <w:pPr>
              <w:pStyle w:val="TableParagraph"/>
              <w:rPr>
                <w:rFonts w:ascii="Times New Roman"/>
                <w:sz w:val="12"/>
              </w:rPr>
            </w:pPr>
          </w:p>
        </w:tc>
        <w:tc>
          <w:tcPr>
            <w:tcW w:w="640" w:type="dxa"/>
            <w:shd w:val="clear" w:color="auto" w:fill="FFFF00"/>
          </w:tcPr>
          <w:p>
            <w:pPr>
              <w:pStyle w:val="TableParagraph"/>
              <w:spacing w:before="87"/>
              <w:ind w:left="20"/>
              <w:rPr>
                <w:sz w:val="13"/>
              </w:rPr>
            </w:pPr>
            <w:r>
              <w:rPr>
                <w:sz w:val="13"/>
              </w:rPr>
              <w:t>20.25</w:t>
            </w:r>
          </w:p>
        </w:tc>
        <w:tc>
          <w:tcPr>
            <w:tcW w:w="640" w:type="dxa"/>
            <w:shd w:val="clear" w:color="auto" w:fill="FFFF00"/>
          </w:tcPr>
          <w:p>
            <w:pPr>
              <w:pStyle w:val="TableParagraph"/>
              <w:rPr>
                <w:rFonts w:ascii="Times New Roman"/>
                <w:sz w:val="12"/>
              </w:rPr>
            </w:pPr>
          </w:p>
        </w:tc>
        <w:tc>
          <w:tcPr>
            <w:tcW w:w="675" w:type="dxa"/>
            <w:shd w:val="clear" w:color="auto" w:fill="FFFF00"/>
          </w:tcPr>
          <w:p>
            <w:pPr>
              <w:pStyle w:val="TableParagraph"/>
              <w:rPr>
                <w:rFonts w:ascii="Times New Roman"/>
                <w:sz w:val="12"/>
              </w:rPr>
            </w:pPr>
          </w:p>
        </w:tc>
        <w:tc>
          <w:tcPr>
            <w:tcW w:w="705" w:type="dxa"/>
            <w:tcBorders>
              <w:right w:val="single" w:sz="8" w:space="0" w:color="000000"/>
            </w:tcBorders>
            <w:shd w:val="clear" w:color="auto" w:fill="FFFF00"/>
          </w:tcPr>
          <w:p>
            <w:pPr>
              <w:pStyle w:val="TableParagraph"/>
              <w:rPr>
                <w:rFonts w:ascii="Times New Roman"/>
                <w:sz w:val="12"/>
              </w:rPr>
            </w:pPr>
          </w:p>
        </w:tc>
      </w:tr>
      <w:tr>
        <w:trPr>
          <w:trHeight w:val="1190" w:hRule="atLeast"/>
        </w:trPr>
        <w:tc>
          <w:tcPr>
            <w:tcW w:w="1443" w:type="dxa"/>
            <w:vMerge/>
            <w:tcBorders>
              <w:top w:val="nil"/>
              <w:bottom w:val="single" w:sz="8" w:space="0" w:color="000000"/>
            </w:tcBorders>
          </w:tcPr>
          <w:p>
            <w:pPr>
              <w:rPr>
                <w:sz w:val="2"/>
                <w:szCs w:val="2"/>
              </w:rPr>
            </w:pPr>
          </w:p>
        </w:tc>
        <w:tc>
          <w:tcPr>
            <w:tcW w:w="2048" w:type="dxa"/>
          </w:tcPr>
          <w:p>
            <w:pPr>
              <w:pStyle w:val="TableParagraph"/>
              <w:rPr>
                <w:sz w:val="12"/>
              </w:rPr>
            </w:pPr>
          </w:p>
          <w:p>
            <w:pPr>
              <w:pStyle w:val="TableParagraph"/>
              <w:rPr>
                <w:sz w:val="12"/>
              </w:rPr>
            </w:pPr>
          </w:p>
          <w:p>
            <w:pPr>
              <w:pStyle w:val="TableParagraph"/>
              <w:rPr>
                <w:sz w:val="12"/>
              </w:rPr>
            </w:pPr>
          </w:p>
          <w:p>
            <w:pPr>
              <w:pStyle w:val="TableParagraph"/>
              <w:spacing w:before="79"/>
              <w:ind w:left="21"/>
              <w:rPr>
                <w:sz w:val="13"/>
              </w:rPr>
            </w:pPr>
            <w:r>
              <w:rPr>
                <w:sz w:val="13"/>
              </w:rPr>
              <w:t>Sexual Offences</w:t>
            </w:r>
          </w:p>
        </w:tc>
        <w:tc>
          <w:tcPr>
            <w:tcW w:w="2152" w:type="dxa"/>
          </w:tcPr>
          <w:p>
            <w:pPr>
              <w:pStyle w:val="TableParagraph"/>
              <w:numPr>
                <w:ilvl w:val="0"/>
                <w:numId w:val="61"/>
              </w:numPr>
              <w:tabs>
                <w:tab w:pos="195" w:val="left" w:leader="none"/>
              </w:tabs>
              <w:spacing w:line="261" w:lineRule="auto" w:before="0" w:after="0"/>
              <w:ind w:left="21" w:right="356" w:firstLine="0"/>
              <w:jc w:val="left"/>
              <w:rPr>
                <w:sz w:val="13"/>
              </w:rPr>
            </w:pPr>
            <w:r>
              <w:rPr>
                <w:sz w:val="13"/>
              </w:rPr>
              <w:t>Sexual Exploitation (child non famialial)</w:t>
            </w:r>
          </w:p>
          <w:p>
            <w:pPr>
              <w:pStyle w:val="TableParagraph"/>
              <w:numPr>
                <w:ilvl w:val="0"/>
                <w:numId w:val="61"/>
              </w:numPr>
              <w:tabs>
                <w:tab w:pos="195" w:val="left" w:leader="none"/>
              </w:tabs>
              <w:spacing w:line="158" w:lineRule="exact" w:before="0" w:after="0"/>
              <w:ind w:left="194" w:right="0" w:hanging="174"/>
              <w:jc w:val="left"/>
              <w:rPr>
                <w:sz w:val="13"/>
              </w:rPr>
            </w:pPr>
            <w:r>
              <w:rPr>
                <w:sz w:val="13"/>
              </w:rPr>
              <w:t>Exposure and</w:t>
            </w:r>
            <w:r>
              <w:rPr>
                <w:spacing w:val="-2"/>
                <w:sz w:val="13"/>
              </w:rPr>
              <w:t> </w:t>
            </w:r>
            <w:r>
              <w:rPr>
                <w:sz w:val="13"/>
              </w:rPr>
              <w:t>voyuerism</w:t>
            </w:r>
          </w:p>
          <w:p>
            <w:pPr>
              <w:pStyle w:val="TableParagraph"/>
              <w:numPr>
                <w:ilvl w:val="0"/>
                <w:numId w:val="61"/>
              </w:numPr>
              <w:tabs>
                <w:tab w:pos="195" w:val="left" w:leader="none"/>
              </w:tabs>
              <w:spacing w:line="240" w:lineRule="auto" w:before="14" w:after="0"/>
              <w:ind w:left="194" w:right="0" w:hanging="174"/>
              <w:jc w:val="left"/>
              <w:rPr>
                <w:sz w:val="13"/>
              </w:rPr>
            </w:pPr>
            <w:r>
              <w:rPr>
                <w:sz w:val="13"/>
              </w:rPr>
              <w:t>Sexual abuse (child</w:t>
            </w:r>
            <w:r>
              <w:rPr>
                <w:spacing w:val="3"/>
                <w:sz w:val="13"/>
              </w:rPr>
              <w:t> </w:t>
            </w:r>
            <w:r>
              <w:rPr>
                <w:sz w:val="13"/>
              </w:rPr>
              <w:t>famialial)</w:t>
            </w:r>
          </w:p>
          <w:p>
            <w:pPr>
              <w:pStyle w:val="TableParagraph"/>
              <w:numPr>
                <w:ilvl w:val="0"/>
                <w:numId w:val="61"/>
              </w:numPr>
              <w:tabs>
                <w:tab w:pos="195" w:val="left" w:leader="none"/>
              </w:tabs>
              <w:spacing w:line="261" w:lineRule="auto" w:before="14" w:after="0"/>
              <w:ind w:left="21" w:right="343" w:firstLine="0"/>
              <w:jc w:val="left"/>
              <w:rPr>
                <w:sz w:val="13"/>
              </w:rPr>
            </w:pPr>
            <w:r>
              <w:rPr>
                <w:sz w:val="13"/>
              </w:rPr>
              <w:t>Sexual exploitation and abuse (adult)</w:t>
            </w:r>
          </w:p>
          <w:p>
            <w:pPr>
              <w:pStyle w:val="TableParagraph"/>
              <w:numPr>
                <w:ilvl w:val="0"/>
                <w:numId w:val="61"/>
              </w:numPr>
              <w:tabs>
                <w:tab w:pos="195" w:val="left" w:leader="none"/>
              </w:tabs>
              <w:spacing w:line="133" w:lineRule="exact" w:before="0" w:after="0"/>
              <w:ind w:left="194" w:right="0" w:hanging="174"/>
              <w:jc w:val="left"/>
              <w:rPr>
                <w:sz w:val="13"/>
              </w:rPr>
            </w:pPr>
            <w:r>
              <w:rPr>
                <w:sz w:val="13"/>
              </w:rPr>
              <w:t>Rape</w:t>
            </w:r>
          </w:p>
        </w:tc>
        <w:tc>
          <w:tcPr>
            <w:tcW w:w="640" w:type="dxa"/>
            <w:shd w:val="clear" w:color="auto" w:fill="FFFF00"/>
          </w:tcPr>
          <w:p>
            <w:pPr>
              <w:pStyle w:val="TableParagraph"/>
              <w:rPr>
                <w:rFonts w:ascii="Times New Roman"/>
                <w:sz w:val="12"/>
              </w:rPr>
            </w:pPr>
          </w:p>
        </w:tc>
        <w:tc>
          <w:tcPr>
            <w:tcW w:w="640" w:type="dxa"/>
            <w:shd w:val="clear" w:color="auto" w:fill="FFC000"/>
          </w:tcPr>
          <w:p>
            <w:pPr>
              <w:pStyle w:val="TableParagraph"/>
              <w:rPr>
                <w:rFonts w:ascii="Times New Roman"/>
                <w:sz w:val="12"/>
              </w:rPr>
            </w:pPr>
          </w:p>
        </w:tc>
        <w:tc>
          <w:tcPr>
            <w:tcW w:w="640" w:type="dxa"/>
            <w:shd w:val="clear" w:color="auto" w:fill="FF0000"/>
          </w:tcPr>
          <w:p>
            <w:pPr>
              <w:pStyle w:val="TableParagraph"/>
              <w:spacing w:before="2"/>
              <w:rPr>
                <w:sz w:val="14"/>
              </w:rPr>
            </w:pPr>
          </w:p>
          <w:p>
            <w:pPr>
              <w:pStyle w:val="TableParagraph"/>
              <w:ind w:left="20"/>
              <w:rPr>
                <w:sz w:val="13"/>
              </w:rPr>
            </w:pPr>
            <w:r>
              <w:rPr>
                <w:sz w:val="13"/>
              </w:rPr>
              <w:t>(1)</w:t>
            </w:r>
            <w:r>
              <w:rPr>
                <w:spacing w:val="-4"/>
                <w:sz w:val="13"/>
              </w:rPr>
              <w:t> </w:t>
            </w:r>
            <w:r>
              <w:rPr>
                <w:spacing w:val="-6"/>
                <w:sz w:val="13"/>
              </w:rPr>
              <w:t>34</w:t>
            </w:r>
          </w:p>
          <w:p>
            <w:pPr>
              <w:pStyle w:val="TableParagraph"/>
              <w:spacing w:before="14"/>
              <w:ind w:left="20"/>
              <w:rPr>
                <w:sz w:val="13"/>
              </w:rPr>
            </w:pPr>
            <w:r>
              <w:rPr>
                <w:sz w:val="13"/>
              </w:rPr>
              <w:t>(2)</w:t>
            </w:r>
            <w:r>
              <w:rPr>
                <w:spacing w:val="-9"/>
                <w:sz w:val="13"/>
              </w:rPr>
              <w:t> </w:t>
            </w:r>
            <w:r>
              <w:rPr>
                <w:sz w:val="13"/>
              </w:rPr>
              <w:t>2.5</w:t>
            </w:r>
          </w:p>
          <w:p>
            <w:pPr>
              <w:pStyle w:val="TableParagraph"/>
              <w:spacing w:before="14"/>
              <w:ind w:left="20"/>
              <w:rPr>
                <w:sz w:val="13"/>
              </w:rPr>
            </w:pPr>
            <w:r>
              <w:rPr>
                <w:sz w:val="13"/>
              </w:rPr>
              <w:t>(3)</w:t>
            </w:r>
            <w:r>
              <w:rPr>
                <w:spacing w:val="-3"/>
                <w:sz w:val="13"/>
              </w:rPr>
              <w:t> </w:t>
            </w:r>
            <w:r>
              <w:rPr>
                <w:spacing w:val="-5"/>
                <w:sz w:val="13"/>
              </w:rPr>
              <w:t>29.75</w:t>
            </w:r>
          </w:p>
          <w:p>
            <w:pPr>
              <w:pStyle w:val="TableParagraph"/>
              <w:spacing w:before="15"/>
              <w:ind w:left="20"/>
              <w:rPr>
                <w:sz w:val="13"/>
              </w:rPr>
            </w:pPr>
            <w:r>
              <w:rPr>
                <w:sz w:val="13"/>
              </w:rPr>
              <w:t>(4)</w:t>
            </w:r>
            <w:r>
              <w:rPr>
                <w:spacing w:val="-3"/>
                <w:sz w:val="13"/>
              </w:rPr>
              <w:t> </w:t>
            </w:r>
            <w:r>
              <w:rPr>
                <w:spacing w:val="-5"/>
                <w:sz w:val="13"/>
              </w:rPr>
              <w:t>23.75</w:t>
            </w:r>
          </w:p>
          <w:p>
            <w:pPr>
              <w:pStyle w:val="TableParagraph"/>
              <w:spacing w:before="14"/>
              <w:ind w:left="20"/>
              <w:rPr>
                <w:sz w:val="13"/>
              </w:rPr>
            </w:pPr>
            <w:r>
              <w:rPr>
                <w:sz w:val="13"/>
              </w:rPr>
              <w:t>(5) 28.5</w:t>
            </w:r>
          </w:p>
        </w:tc>
        <w:tc>
          <w:tcPr>
            <w:tcW w:w="640" w:type="dxa"/>
            <w:shd w:val="clear" w:color="auto" w:fill="FFC000"/>
          </w:tcPr>
          <w:p>
            <w:pPr>
              <w:pStyle w:val="TableParagraph"/>
              <w:rPr>
                <w:rFonts w:ascii="Times New Roman"/>
                <w:sz w:val="12"/>
              </w:rPr>
            </w:pPr>
          </w:p>
        </w:tc>
        <w:tc>
          <w:tcPr>
            <w:tcW w:w="675" w:type="dxa"/>
            <w:shd w:val="clear" w:color="auto" w:fill="FFC000"/>
          </w:tcPr>
          <w:p>
            <w:pPr>
              <w:pStyle w:val="TableParagraph"/>
              <w:rPr>
                <w:rFonts w:ascii="Times New Roman"/>
                <w:sz w:val="12"/>
              </w:rPr>
            </w:pPr>
          </w:p>
        </w:tc>
        <w:tc>
          <w:tcPr>
            <w:tcW w:w="705" w:type="dxa"/>
            <w:tcBorders>
              <w:right w:val="single" w:sz="8" w:space="0" w:color="000000"/>
            </w:tcBorders>
            <w:shd w:val="clear" w:color="auto" w:fill="FFC000"/>
          </w:tcPr>
          <w:p>
            <w:pPr>
              <w:pStyle w:val="TableParagraph"/>
              <w:rPr>
                <w:rFonts w:ascii="Times New Roman"/>
                <w:sz w:val="12"/>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3" w:lineRule="exact"/>
              <w:ind w:left="21"/>
              <w:rPr>
                <w:sz w:val="13"/>
              </w:rPr>
            </w:pPr>
            <w:r>
              <w:rPr>
                <w:sz w:val="13"/>
              </w:rPr>
              <w:t>Hate Crime</w:t>
            </w:r>
          </w:p>
        </w:tc>
        <w:tc>
          <w:tcPr>
            <w:tcW w:w="2152" w:type="dxa"/>
          </w:tcPr>
          <w:p>
            <w:pPr>
              <w:pStyle w:val="TableParagraph"/>
              <w:spacing w:line="133" w:lineRule="exact"/>
              <w:ind w:left="21"/>
              <w:rPr>
                <w:sz w:val="13"/>
              </w:rPr>
            </w:pPr>
            <w:r>
              <w:rPr>
                <w:sz w:val="13"/>
              </w:rPr>
              <w:t>Hate crime</w:t>
            </w:r>
          </w:p>
        </w:tc>
        <w:tc>
          <w:tcPr>
            <w:tcW w:w="640" w:type="dxa"/>
            <w:shd w:val="clear" w:color="auto" w:fill="6FAC46"/>
          </w:tcPr>
          <w:p>
            <w:pPr>
              <w:pStyle w:val="TableParagraph"/>
              <w:rPr>
                <w:rFonts w:ascii="Times New Roman"/>
                <w:sz w:val="8"/>
              </w:rPr>
            </w:pPr>
          </w:p>
        </w:tc>
        <w:tc>
          <w:tcPr>
            <w:tcW w:w="640" w:type="dxa"/>
            <w:shd w:val="clear" w:color="auto" w:fill="FFC000"/>
          </w:tcPr>
          <w:p>
            <w:pPr>
              <w:pStyle w:val="TableParagraph"/>
              <w:rPr>
                <w:rFonts w:ascii="Times New Roman"/>
                <w:sz w:val="8"/>
              </w:rPr>
            </w:pPr>
          </w:p>
        </w:tc>
        <w:tc>
          <w:tcPr>
            <w:tcW w:w="640" w:type="dxa"/>
            <w:shd w:val="clear" w:color="auto" w:fill="FFFF00"/>
          </w:tcPr>
          <w:p>
            <w:pPr>
              <w:pStyle w:val="TableParagraph"/>
              <w:spacing w:line="133" w:lineRule="exact"/>
              <w:ind w:left="20"/>
              <w:rPr>
                <w:sz w:val="13"/>
              </w:rPr>
            </w:pPr>
            <w:r>
              <w:rPr>
                <w:sz w:val="13"/>
              </w:rPr>
              <w:t>21</w:t>
            </w:r>
          </w:p>
        </w:tc>
        <w:tc>
          <w:tcPr>
            <w:tcW w:w="640" w:type="dxa"/>
            <w:shd w:val="clear" w:color="auto" w:fill="6FAC46"/>
          </w:tcPr>
          <w:p>
            <w:pPr>
              <w:pStyle w:val="TableParagraph"/>
              <w:rPr>
                <w:rFonts w:ascii="Times New Roman"/>
                <w:sz w:val="8"/>
              </w:rPr>
            </w:pPr>
          </w:p>
        </w:tc>
        <w:tc>
          <w:tcPr>
            <w:tcW w:w="675" w:type="dxa"/>
            <w:shd w:val="clear" w:color="auto" w:fill="6FAC46"/>
          </w:tcPr>
          <w:p>
            <w:pPr>
              <w:pStyle w:val="TableParagraph"/>
              <w:rPr>
                <w:rFonts w:ascii="Times New Roman"/>
                <w:sz w:val="8"/>
              </w:rPr>
            </w:pPr>
          </w:p>
        </w:tc>
        <w:tc>
          <w:tcPr>
            <w:tcW w:w="705" w:type="dxa"/>
            <w:tcBorders>
              <w:right w:val="single" w:sz="8" w:space="0" w:color="000000"/>
            </w:tcBorders>
            <w:shd w:val="clear" w:color="auto" w:fill="6FAC46"/>
          </w:tcPr>
          <w:p>
            <w:pPr>
              <w:pStyle w:val="TableParagraph"/>
              <w:rPr>
                <w:rFonts w:ascii="Times New Roman"/>
                <w:sz w:val="8"/>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3" w:lineRule="exact"/>
              <w:ind w:left="21"/>
              <w:rPr>
                <w:sz w:val="13"/>
              </w:rPr>
            </w:pPr>
            <w:r>
              <w:rPr>
                <w:sz w:val="13"/>
              </w:rPr>
              <w:t>Mental Health</w:t>
            </w:r>
          </w:p>
        </w:tc>
        <w:tc>
          <w:tcPr>
            <w:tcW w:w="2152" w:type="dxa"/>
          </w:tcPr>
          <w:p>
            <w:pPr>
              <w:pStyle w:val="TableParagraph"/>
              <w:spacing w:line="133" w:lineRule="exact"/>
              <w:ind w:left="21"/>
              <w:rPr>
                <w:sz w:val="13"/>
              </w:rPr>
            </w:pPr>
            <w:r>
              <w:rPr>
                <w:sz w:val="13"/>
              </w:rPr>
              <w:t>Mental Health</w:t>
            </w:r>
          </w:p>
        </w:tc>
        <w:tc>
          <w:tcPr>
            <w:tcW w:w="640" w:type="dxa"/>
            <w:shd w:val="clear" w:color="auto" w:fill="FFC000"/>
          </w:tcPr>
          <w:p>
            <w:pPr>
              <w:pStyle w:val="TableParagraph"/>
              <w:rPr>
                <w:rFonts w:ascii="Times New Roman"/>
                <w:sz w:val="8"/>
              </w:rPr>
            </w:pPr>
          </w:p>
        </w:tc>
        <w:tc>
          <w:tcPr>
            <w:tcW w:w="640" w:type="dxa"/>
            <w:shd w:val="clear" w:color="auto" w:fill="FFFF00"/>
          </w:tcPr>
          <w:p>
            <w:pPr>
              <w:pStyle w:val="TableParagraph"/>
              <w:rPr>
                <w:rFonts w:ascii="Times New Roman"/>
                <w:sz w:val="8"/>
              </w:rPr>
            </w:pPr>
          </w:p>
        </w:tc>
        <w:tc>
          <w:tcPr>
            <w:tcW w:w="640" w:type="dxa"/>
            <w:shd w:val="clear" w:color="auto" w:fill="6FAC46"/>
          </w:tcPr>
          <w:p>
            <w:pPr>
              <w:pStyle w:val="TableParagraph"/>
              <w:spacing w:line="133" w:lineRule="exact"/>
              <w:ind w:left="20"/>
              <w:rPr>
                <w:sz w:val="13"/>
              </w:rPr>
            </w:pPr>
            <w:r>
              <w:rPr>
                <w:sz w:val="13"/>
              </w:rPr>
              <w:t>20</w:t>
            </w:r>
          </w:p>
        </w:tc>
        <w:tc>
          <w:tcPr>
            <w:tcW w:w="640" w:type="dxa"/>
            <w:shd w:val="clear" w:color="auto" w:fill="FFFF00"/>
          </w:tcPr>
          <w:p>
            <w:pPr>
              <w:pStyle w:val="TableParagraph"/>
              <w:rPr>
                <w:rFonts w:ascii="Times New Roman"/>
                <w:sz w:val="8"/>
              </w:rPr>
            </w:pPr>
          </w:p>
        </w:tc>
        <w:tc>
          <w:tcPr>
            <w:tcW w:w="675" w:type="dxa"/>
            <w:shd w:val="clear" w:color="auto" w:fill="FFFF00"/>
          </w:tcPr>
          <w:p>
            <w:pPr>
              <w:pStyle w:val="TableParagraph"/>
              <w:rPr>
                <w:rFonts w:ascii="Times New Roman"/>
                <w:sz w:val="8"/>
              </w:rPr>
            </w:pPr>
          </w:p>
        </w:tc>
        <w:tc>
          <w:tcPr>
            <w:tcW w:w="705" w:type="dxa"/>
            <w:tcBorders>
              <w:right w:val="single" w:sz="8" w:space="0" w:color="000000"/>
            </w:tcBorders>
            <w:shd w:val="clear" w:color="auto" w:fill="FFFF00"/>
          </w:tcPr>
          <w:p>
            <w:pPr>
              <w:pStyle w:val="TableParagraph"/>
              <w:rPr>
                <w:rFonts w:ascii="Times New Roman"/>
                <w:sz w:val="8"/>
              </w:rPr>
            </w:pPr>
          </w:p>
        </w:tc>
      </w:tr>
      <w:tr>
        <w:trPr>
          <w:trHeight w:val="503" w:hRule="atLeast"/>
        </w:trPr>
        <w:tc>
          <w:tcPr>
            <w:tcW w:w="1443" w:type="dxa"/>
            <w:vMerge/>
            <w:tcBorders>
              <w:top w:val="nil"/>
              <w:bottom w:val="single" w:sz="8" w:space="0" w:color="000000"/>
            </w:tcBorders>
          </w:tcPr>
          <w:p>
            <w:pPr>
              <w:rPr>
                <w:sz w:val="2"/>
                <w:szCs w:val="2"/>
              </w:rPr>
            </w:pPr>
          </w:p>
        </w:tc>
        <w:tc>
          <w:tcPr>
            <w:tcW w:w="2048" w:type="dxa"/>
            <w:tcBorders>
              <w:bottom w:val="single" w:sz="8" w:space="0" w:color="000000"/>
            </w:tcBorders>
          </w:tcPr>
          <w:p>
            <w:pPr>
              <w:pStyle w:val="TableParagraph"/>
              <w:spacing w:line="261" w:lineRule="auto" w:before="87"/>
              <w:ind w:left="21"/>
              <w:rPr>
                <w:sz w:val="13"/>
              </w:rPr>
            </w:pPr>
            <w:r>
              <w:rPr>
                <w:sz w:val="13"/>
              </w:rPr>
              <w:t>Stalking/ Harassment/ Malicious Communications (and cyber bullying)</w:t>
            </w:r>
          </w:p>
        </w:tc>
        <w:tc>
          <w:tcPr>
            <w:tcW w:w="2152" w:type="dxa"/>
            <w:tcBorders>
              <w:bottom w:val="single" w:sz="8" w:space="0" w:color="000000"/>
            </w:tcBorders>
          </w:tcPr>
          <w:p>
            <w:pPr>
              <w:pStyle w:val="TableParagraph"/>
              <w:numPr>
                <w:ilvl w:val="0"/>
                <w:numId w:val="62"/>
              </w:numPr>
              <w:tabs>
                <w:tab w:pos="195" w:val="left" w:leader="none"/>
              </w:tabs>
              <w:spacing w:line="240" w:lineRule="auto" w:before="0" w:after="0"/>
              <w:ind w:left="194" w:right="0" w:hanging="174"/>
              <w:jc w:val="left"/>
              <w:rPr>
                <w:sz w:val="13"/>
              </w:rPr>
            </w:pPr>
            <w:r>
              <w:rPr>
                <w:sz w:val="13"/>
              </w:rPr>
              <w:t>Stalking</w:t>
            </w:r>
          </w:p>
          <w:p>
            <w:pPr>
              <w:pStyle w:val="TableParagraph"/>
              <w:numPr>
                <w:ilvl w:val="0"/>
                <w:numId w:val="62"/>
              </w:numPr>
              <w:tabs>
                <w:tab w:pos="195" w:val="left" w:leader="none"/>
              </w:tabs>
              <w:spacing w:line="240" w:lineRule="auto" w:before="14" w:after="0"/>
              <w:ind w:left="194" w:right="0" w:hanging="174"/>
              <w:jc w:val="left"/>
              <w:rPr>
                <w:sz w:val="13"/>
              </w:rPr>
            </w:pPr>
            <w:r>
              <w:rPr>
                <w:sz w:val="13"/>
              </w:rPr>
              <w:t>Harassment</w:t>
            </w:r>
          </w:p>
          <w:p>
            <w:pPr>
              <w:pStyle w:val="TableParagraph"/>
              <w:numPr>
                <w:ilvl w:val="0"/>
                <w:numId w:val="62"/>
              </w:numPr>
              <w:tabs>
                <w:tab w:pos="195" w:val="left" w:leader="none"/>
              </w:tabs>
              <w:spacing w:line="137" w:lineRule="exact" w:before="14" w:after="0"/>
              <w:ind w:left="194" w:right="0" w:hanging="174"/>
              <w:jc w:val="left"/>
              <w:rPr>
                <w:sz w:val="13"/>
              </w:rPr>
            </w:pPr>
            <w:r>
              <w:rPr>
                <w:spacing w:val="-4"/>
                <w:sz w:val="13"/>
              </w:rPr>
              <w:t>Mal</w:t>
            </w:r>
            <w:r>
              <w:rPr>
                <w:spacing w:val="1"/>
                <w:sz w:val="13"/>
              </w:rPr>
              <w:t> </w:t>
            </w:r>
            <w:r>
              <w:rPr>
                <w:sz w:val="13"/>
              </w:rPr>
              <w:t>Comms</w:t>
            </w:r>
          </w:p>
        </w:tc>
        <w:tc>
          <w:tcPr>
            <w:tcW w:w="640" w:type="dxa"/>
            <w:tcBorders>
              <w:bottom w:val="single" w:sz="8" w:space="0" w:color="000000"/>
            </w:tcBorders>
            <w:shd w:val="clear" w:color="auto" w:fill="FFFF00"/>
          </w:tcPr>
          <w:p>
            <w:pPr>
              <w:pStyle w:val="TableParagraph"/>
              <w:rPr>
                <w:rFonts w:ascii="Times New Roman"/>
                <w:sz w:val="12"/>
              </w:rPr>
            </w:pPr>
          </w:p>
        </w:tc>
        <w:tc>
          <w:tcPr>
            <w:tcW w:w="640" w:type="dxa"/>
            <w:tcBorders>
              <w:bottom w:val="single" w:sz="8" w:space="0" w:color="000000"/>
            </w:tcBorders>
            <w:shd w:val="clear" w:color="auto" w:fill="FFC000"/>
          </w:tcPr>
          <w:p>
            <w:pPr>
              <w:pStyle w:val="TableParagraph"/>
              <w:rPr>
                <w:rFonts w:ascii="Times New Roman"/>
                <w:sz w:val="12"/>
              </w:rPr>
            </w:pPr>
          </w:p>
        </w:tc>
        <w:tc>
          <w:tcPr>
            <w:tcW w:w="640" w:type="dxa"/>
            <w:tcBorders>
              <w:bottom w:val="single" w:sz="8" w:space="0" w:color="000000"/>
            </w:tcBorders>
            <w:shd w:val="clear" w:color="auto" w:fill="FFFF00"/>
          </w:tcPr>
          <w:p>
            <w:pPr>
              <w:pStyle w:val="TableParagraph"/>
              <w:ind w:left="20"/>
              <w:rPr>
                <w:sz w:val="13"/>
              </w:rPr>
            </w:pPr>
            <w:r>
              <w:rPr>
                <w:sz w:val="13"/>
              </w:rPr>
              <w:t>(1) 15</w:t>
            </w:r>
          </w:p>
          <w:p>
            <w:pPr>
              <w:pStyle w:val="TableParagraph"/>
              <w:spacing w:before="14"/>
              <w:ind w:left="20"/>
              <w:rPr>
                <w:sz w:val="13"/>
              </w:rPr>
            </w:pPr>
            <w:r>
              <w:rPr>
                <w:sz w:val="13"/>
              </w:rPr>
              <w:t>(2) 4.25</w:t>
            </w:r>
          </w:p>
          <w:p>
            <w:pPr>
              <w:pStyle w:val="TableParagraph"/>
              <w:spacing w:line="137" w:lineRule="exact" w:before="14"/>
              <w:ind w:left="20"/>
              <w:rPr>
                <w:sz w:val="13"/>
              </w:rPr>
            </w:pPr>
            <w:r>
              <w:rPr>
                <w:sz w:val="13"/>
              </w:rPr>
              <w:t>(3) 6</w:t>
            </w:r>
          </w:p>
        </w:tc>
        <w:tc>
          <w:tcPr>
            <w:tcW w:w="640" w:type="dxa"/>
            <w:tcBorders>
              <w:bottom w:val="single" w:sz="8" w:space="0" w:color="000000"/>
            </w:tcBorders>
            <w:shd w:val="clear" w:color="auto" w:fill="FFC000"/>
          </w:tcPr>
          <w:p>
            <w:pPr>
              <w:pStyle w:val="TableParagraph"/>
              <w:rPr>
                <w:rFonts w:ascii="Times New Roman"/>
                <w:sz w:val="12"/>
              </w:rPr>
            </w:pPr>
          </w:p>
        </w:tc>
        <w:tc>
          <w:tcPr>
            <w:tcW w:w="675" w:type="dxa"/>
            <w:tcBorders>
              <w:bottom w:val="single" w:sz="8" w:space="0" w:color="000000"/>
            </w:tcBorders>
            <w:shd w:val="clear" w:color="auto" w:fill="FFC000"/>
          </w:tcPr>
          <w:p>
            <w:pPr>
              <w:pStyle w:val="TableParagraph"/>
              <w:rPr>
                <w:rFonts w:ascii="Times New Roman"/>
                <w:sz w:val="12"/>
              </w:rPr>
            </w:pPr>
          </w:p>
        </w:tc>
        <w:tc>
          <w:tcPr>
            <w:tcW w:w="705" w:type="dxa"/>
            <w:tcBorders>
              <w:bottom w:val="single" w:sz="8" w:space="0" w:color="000000"/>
              <w:right w:val="single" w:sz="8" w:space="0" w:color="000000"/>
            </w:tcBorders>
            <w:shd w:val="clear" w:color="auto" w:fill="FFC000"/>
          </w:tcPr>
          <w:p>
            <w:pPr>
              <w:pStyle w:val="TableParagraph"/>
              <w:rPr>
                <w:rFonts w:ascii="Times New Roman"/>
                <w:sz w:val="12"/>
              </w:rPr>
            </w:pPr>
          </w:p>
        </w:tc>
      </w:tr>
      <w:tr>
        <w:trPr>
          <w:trHeight w:val="334" w:hRule="atLeast"/>
        </w:trPr>
        <w:tc>
          <w:tcPr>
            <w:tcW w:w="1443" w:type="dxa"/>
            <w:tcBorders>
              <w:top w:val="single" w:sz="8" w:space="0" w:color="000000"/>
              <w:bottom w:val="single" w:sz="8" w:space="0" w:color="000000"/>
            </w:tcBorders>
          </w:tcPr>
          <w:p>
            <w:pPr>
              <w:pStyle w:val="TableParagraph"/>
              <w:spacing w:before="4"/>
              <w:ind w:left="20"/>
              <w:rPr>
                <w:b/>
                <w:sz w:val="13"/>
              </w:rPr>
            </w:pPr>
            <w:r>
              <w:rPr>
                <w:b/>
                <w:sz w:val="13"/>
              </w:rPr>
              <w:t>Chapter 7: Managing</w:t>
            </w:r>
          </w:p>
          <w:p>
            <w:pPr>
              <w:pStyle w:val="TableParagraph"/>
              <w:spacing w:line="137" w:lineRule="exact" w:before="15"/>
              <w:ind w:left="20"/>
              <w:rPr>
                <w:b/>
                <w:sz w:val="13"/>
              </w:rPr>
            </w:pPr>
            <w:r>
              <w:rPr>
                <w:b/>
                <w:sz w:val="13"/>
              </w:rPr>
              <w:t>Offenders</w:t>
            </w:r>
          </w:p>
        </w:tc>
        <w:tc>
          <w:tcPr>
            <w:tcW w:w="2048" w:type="dxa"/>
            <w:tcBorders>
              <w:top w:val="single" w:sz="8" w:space="0" w:color="000000"/>
              <w:bottom w:val="single" w:sz="8" w:space="0" w:color="000000"/>
            </w:tcBorders>
          </w:tcPr>
          <w:p>
            <w:pPr>
              <w:pStyle w:val="TableParagraph"/>
              <w:spacing w:before="91"/>
              <w:ind w:left="21"/>
              <w:rPr>
                <w:sz w:val="13"/>
              </w:rPr>
            </w:pPr>
            <w:r>
              <w:rPr>
                <w:sz w:val="13"/>
              </w:rPr>
              <w:t>Managing Offenders</w:t>
            </w:r>
          </w:p>
        </w:tc>
        <w:tc>
          <w:tcPr>
            <w:tcW w:w="2152" w:type="dxa"/>
            <w:tcBorders>
              <w:top w:val="single" w:sz="8" w:space="0" w:color="000000"/>
              <w:bottom w:val="single" w:sz="8" w:space="0" w:color="000000"/>
            </w:tcBorders>
          </w:tcPr>
          <w:p>
            <w:pPr>
              <w:pStyle w:val="TableParagraph"/>
              <w:spacing w:before="91"/>
              <w:ind w:left="21"/>
              <w:rPr>
                <w:sz w:val="13"/>
              </w:rPr>
            </w:pPr>
            <w:r>
              <w:rPr>
                <w:sz w:val="13"/>
              </w:rPr>
              <w:t>N/A</w:t>
            </w:r>
          </w:p>
        </w:tc>
        <w:tc>
          <w:tcPr>
            <w:tcW w:w="640" w:type="dxa"/>
            <w:tcBorders>
              <w:top w:val="single" w:sz="8" w:space="0" w:color="000000"/>
              <w:bottom w:val="single" w:sz="8" w:space="0" w:color="000000"/>
            </w:tcBorders>
            <w:shd w:val="clear" w:color="auto" w:fill="FF0000"/>
          </w:tcPr>
          <w:p>
            <w:pPr>
              <w:pStyle w:val="TableParagraph"/>
              <w:rPr>
                <w:rFonts w:ascii="Times New Roman"/>
                <w:sz w:val="12"/>
              </w:rPr>
            </w:pP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40" w:type="dxa"/>
            <w:tcBorders>
              <w:top w:val="single" w:sz="8" w:space="0" w:color="000000"/>
              <w:bottom w:val="single" w:sz="8" w:space="0" w:color="000000"/>
            </w:tcBorders>
          </w:tcPr>
          <w:p>
            <w:pPr>
              <w:pStyle w:val="TableParagraph"/>
              <w:spacing w:before="91"/>
              <w:ind w:left="20"/>
              <w:rPr>
                <w:sz w:val="13"/>
              </w:rPr>
            </w:pPr>
            <w:r>
              <w:rPr>
                <w:sz w:val="13"/>
              </w:rPr>
              <w:t>N/A</w:t>
            </w: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75" w:type="dxa"/>
            <w:tcBorders>
              <w:top w:val="single" w:sz="8" w:space="0" w:color="000000"/>
              <w:bottom w:val="single" w:sz="8" w:space="0" w:color="000000"/>
            </w:tcBorders>
            <w:shd w:val="clear" w:color="auto" w:fill="FFC000"/>
          </w:tcPr>
          <w:p>
            <w:pPr>
              <w:pStyle w:val="TableParagraph"/>
              <w:rPr>
                <w:rFonts w:ascii="Times New Roman"/>
                <w:sz w:val="12"/>
              </w:rPr>
            </w:pPr>
          </w:p>
        </w:tc>
        <w:tc>
          <w:tcPr>
            <w:tcW w:w="705" w:type="dxa"/>
            <w:tcBorders>
              <w:top w:val="single" w:sz="8" w:space="0" w:color="000000"/>
              <w:bottom w:val="single" w:sz="8" w:space="0" w:color="000000"/>
              <w:right w:val="single" w:sz="8" w:space="0" w:color="000000"/>
            </w:tcBorders>
            <w:shd w:val="clear" w:color="auto" w:fill="FFC000"/>
          </w:tcPr>
          <w:p>
            <w:pPr>
              <w:pStyle w:val="TableParagraph"/>
              <w:rPr>
                <w:rFonts w:ascii="Times New Roman"/>
                <w:sz w:val="12"/>
              </w:rPr>
            </w:pPr>
          </w:p>
        </w:tc>
      </w:tr>
      <w:tr>
        <w:trPr>
          <w:trHeight w:val="1717" w:hRule="atLeast"/>
        </w:trPr>
        <w:tc>
          <w:tcPr>
            <w:tcW w:w="1443" w:type="dxa"/>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2"/>
              </w:rPr>
            </w:pPr>
          </w:p>
          <w:p>
            <w:pPr>
              <w:pStyle w:val="TableParagraph"/>
              <w:spacing w:before="11"/>
              <w:rPr>
                <w:sz w:val="13"/>
              </w:rPr>
            </w:pPr>
          </w:p>
          <w:p>
            <w:pPr>
              <w:pStyle w:val="TableParagraph"/>
              <w:spacing w:line="261" w:lineRule="auto"/>
              <w:ind w:left="20" w:right="311"/>
              <w:jc w:val="both"/>
              <w:rPr>
                <w:b/>
                <w:sz w:val="13"/>
              </w:rPr>
            </w:pPr>
            <w:r>
              <w:rPr>
                <w:b/>
                <w:sz w:val="13"/>
              </w:rPr>
              <w:t>Chapter</w:t>
            </w:r>
            <w:r>
              <w:rPr>
                <w:b/>
                <w:spacing w:val="-24"/>
                <w:sz w:val="13"/>
              </w:rPr>
              <w:t> </w:t>
            </w:r>
            <w:r>
              <w:rPr>
                <w:b/>
                <w:spacing w:val="-3"/>
                <w:sz w:val="13"/>
              </w:rPr>
              <w:t>8: </w:t>
            </w:r>
            <w:r>
              <w:rPr>
                <w:b/>
                <w:sz w:val="13"/>
              </w:rPr>
              <w:t>Managing Serious &amp; Organised Crime</w:t>
            </w:r>
          </w:p>
        </w:tc>
        <w:tc>
          <w:tcPr>
            <w:tcW w:w="2048" w:type="dxa"/>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9"/>
              </w:rPr>
            </w:pPr>
          </w:p>
          <w:p>
            <w:pPr>
              <w:pStyle w:val="TableParagraph"/>
              <w:spacing w:line="261" w:lineRule="auto"/>
              <w:ind w:left="21" w:right="261"/>
              <w:rPr>
                <w:sz w:val="13"/>
              </w:rPr>
            </w:pPr>
            <w:r>
              <w:rPr>
                <w:sz w:val="13"/>
              </w:rPr>
              <w:t>Managing Serious and Organised Crime</w:t>
            </w:r>
          </w:p>
        </w:tc>
        <w:tc>
          <w:tcPr>
            <w:tcW w:w="2152" w:type="dxa"/>
            <w:tcBorders>
              <w:top w:val="single" w:sz="8" w:space="0" w:color="000000"/>
              <w:bottom w:val="single" w:sz="8" w:space="0" w:color="000000"/>
            </w:tcBorders>
          </w:tcPr>
          <w:p>
            <w:pPr>
              <w:pStyle w:val="TableParagraph"/>
              <w:numPr>
                <w:ilvl w:val="0"/>
                <w:numId w:val="63"/>
              </w:numPr>
              <w:tabs>
                <w:tab w:pos="195" w:val="left" w:leader="none"/>
              </w:tabs>
              <w:spacing w:line="240" w:lineRule="auto" w:before="4" w:after="0"/>
              <w:ind w:left="194" w:right="0" w:hanging="174"/>
              <w:jc w:val="left"/>
              <w:rPr>
                <w:sz w:val="13"/>
              </w:rPr>
            </w:pPr>
            <w:r>
              <w:rPr>
                <w:sz w:val="13"/>
              </w:rPr>
              <w:t>Armed Criminality - Guns,</w:t>
            </w:r>
            <w:r>
              <w:rPr>
                <w:spacing w:val="-1"/>
                <w:sz w:val="13"/>
              </w:rPr>
              <w:t> </w:t>
            </w:r>
            <w:r>
              <w:rPr>
                <w:sz w:val="13"/>
              </w:rPr>
              <w:t>Knives</w:t>
            </w:r>
          </w:p>
          <w:p>
            <w:pPr>
              <w:pStyle w:val="TableParagraph"/>
              <w:numPr>
                <w:ilvl w:val="0"/>
                <w:numId w:val="63"/>
              </w:numPr>
              <w:tabs>
                <w:tab w:pos="195" w:val="left" w:leader="none"/>
              </w:tabs>
              <w:spacing w:line="240" w:lineRule="auto" w:before="15" w:after="0"/>
              <w:ind w:left="194" w:right="0" w:hanging="174"/>
              <w:jc w:val="left"/>
              <w:rPr>
                <w:sz w:val="13"/>
              </w:rPr>
            </w:pPr>
            <w:r>
              <w:rPr>
                <w:sz w:val="13"/>
              </w:rPr>
              <w:t>County</w:t>
            </w:r>
            <w:r>
              <w:rPr>
                <w:spacing w:val="-2"/>
                <w:sz w:val="13"/>
              </w:rPr>
              <w:t> </w:t>
            </w:r>
            <w:r>
              <w:rPr>
                <w:sz w:val="13"/>
              </w:rPr>
              <w:t>Lines</w:t>
            </w:r>
          </w:p>
          <w:p>
            <w:pPr>
              <w:pStyle w:val="TableParagraph"/>
              <w:numPr>
                <w:ilvl w:val="0"/>
                <w:numId w:val="63"/>
              </w:numPr>
              <w:tabs>
                <w:tab w:pos="195" w:val="left" w:leader="none"/>
              </w:tabs>
              <w:spacing w:line="240" w:lineRule="auto" w:before="14" w:after="0"/>
              <w:ind w:left="194" w:right="0" w:hanging="174"/>
              <w:jc w:val="left"/>
              <w:rPr>
                <w:sz w:val="13"/>
              </w:rPr>
            </w:pPr>
            <w:r>
              <w:rPr>
                <w:sz w:val="13"/>
              </w:rPr>
              <w:t>Cross-border</w:t>
            </w:r>
            <w:r>
              <w:rPr>
                <w:spacing w:val="-6"/>
                <w:sz w:val="13"/>
              </w:rPr>
              <w:t> </w:t>
            </w:r>
            <w:r>
              <w:rPr>
                <w:sz w:val="13"/>
              </w:rPr>
              <w:t>Crime</w:t>
            </w:r>
          </w:p>
          <w:p>
            <w:pPr>
              <w:pStyle w:val="TableParagraph"/>
              <w:numPr>
                <w:ilvl w:val="0"/>
                <w:numId w:val="63"/>
              </w:numPr>
              <w:tabs>
                <w:tab w:pos="195" w:val="left" w:leader="none"/>
              </w:tabs>
              <w:spacing w:line="240" w:lineRule="auto" w:before="14" w:after="0"/>
              <w:ind w:left="194" w:right="0" w:hanging="174"/>
              <w:jc w:val="left"/>
              <w:rPr>
                <w:sz w:val="13"/>
              </w:rPr>
            </w:pPr>
            <w:r>
              <w:rPr>
                <w:sz w:val="13"/>
              </w:rPr>
              <w:t>Drugs</w:t>
            </w:r>
            <w:r>
              <w:rPr>
                <w:spacing w:val="-3"/>
                <w:sz w:val="13"/>
              </w:rPr>
              <w:t> </w:t>
            </w:r>
            <w:r>
              <w:rPr>
                <w:sz w:val="13"/>
              </w:rPr>
              <w:t>Possession</w:t>
            </w:r>
          </w:p>
          <w:p>
            <w:pPr>
              <w:pStyle w:val="TableParagraph"/>
              <w:numPr>
                <w:ilvl w:val="0"/>
                <w:numId w:val="63"/>
              </w:numPr>
              <w:tabs>
                <w:tab w:pos="195" w:val="left" w:leader="none"/>
              </w:tabs>
              <w:spacing w:line="240" w:lineRule="auto" w:before="14" w:after="0"/>
              <w:ind w:left="194" w:right="0" w:hanging="174"/>
              <w:jc w:val="left"/>
              <w:rPr>
                <w:sz w:val="13"/>
              </w:rPr>
            </w:pPr>
            <w:r>
              <w:rPr>
                <w:sz w:val="13"/>
              </w:rPr>
              <w:t>Foreign National</w:t>
            </w:r>
            <w:r>
              <w:rPr>
                <w:spacing w:val="-1"/>
                <w:sz w:val="13"/>
              </w:rPr>
              <w:t> </w:t>
            </w:r>
            <w:r>
              <w:rPr>
                <w:sz w:val="13"/>
              </w:rPr>
              <w:t>Offenders</w:t>
            </w:r>
          </w:p>
          <w:p>
            <w:pPr>
              <w:pStyle w:val="TableParagraph"/>
              <w:numPr>
                <w:ilvl w:val="0"/>
                <w:numId w:val="63"/>
              </w:numPr>
              <w:tabs>
                <w:tab w:pos="195" w:val="left" w:leader="none"/>
              </w:tabs>
              <w:spacing w:line="240" w:lineRule="auto" w:before="14" w:after="0"/>
              <w:ind w:left="194" w:right="0" w:hanging="174"/>
              <w:jc w:val="left"/>
              <w:rPr>
                <w:sz w:val="13"/>
              </w:rPr>
            </w:pPr>
            <w:r>
              <w:rPr>
                <w:sz w:val="13"/>
              </w:rPr>
              <w:t>Drugs Supply and</w:t>
            </w:r>
            <w:r>
              <w:rPr>
                <w:spacing w:val="-10"/>
                <w:sz w:val="13"/>
              </w:rPr>
              <w:t> </w:t>
            </w:r>
            <w:r>
              <w:rPr>
                <w:sz w:val="13"/>
              </w:rPr>
              <w:t>Production</w:t>
            </w:r>
          </w:p>
          <w:p>
            <w:pPr>
              <w:pStyle w:val="TableParagraph"/>
              <w:numPr>
                <w:ilvl w:val="0"/>
                <w:numId w:val="63"/>
              </w:numPr>
              <w:tabs>
                <w:tab w:pos="195" w:val="left" w:leader="none"/>
              </w:tabs>
              <w:spacing w:line="240" w:lineRule="auto" w:before="14" w:after="0"/>
              <w:ind w:left="194" w:right="0" w:hanging="174"/>
              <w:jc w:val="left"/>
              <w:rPr>
                <w:sz w:val="13"/>
              </w:rPr>
            </w:pPr>
            <w:r>
              <w:rPr>
                <w:sz w:val="13"/>
              </w:rPr>
              <w:t>Kidnapping and</w:t>
            </w:r>
            <w:r>
              <w:rPr>
                <w:spacing w:val="-8"/>
                <w:sz w:val="13"/>
              </w:rPr>
              <w:t> </w:t>
            </w:r>
            <w:r>
              <w:rPr>
                <w:sz w:val="13"/>
              </w:rPr>
              <w:t>Extortion</w:t>
            </w:r>
          </w:p>
          <w:p>
            <w:pPr>
              <w:pStyle w:val="TableParagraph"/>
              <w:numPr>
                <w:ilvl w:val="0"/>
                <w:numId w:val="63"/>
              </w:numPr>
              <w:tabs>
                <w:tab w:pos="195" w:val="left" w:leader="none"/>
              </w:tabs>
              <w:spacing w:line="240" w:lineRule="auto" w:before="15" w:after="0"/>
              <w:ind w:left="194" w:right="0" w:hanging="174"/>
              <w:jc w:val="left"/>
              <w:rPr>
                <w:sz w:val="13"/>
              </w:rPr>
            </w:pPr>
            <w:r>
              <w:rPr>
                <w:sz w:val="13"/>
              </w:rPr>
              <w:t>Money</w:t>
            </w:r>
            <w:r>
              <w:rPr>
                <w:spacing w:val="-3"/>
                <w:sz w:val="13"/>
              </w:rPr>
              <w:t> </w:t>
            </w:r>
            <w:r>
              <w:rPr>
                <w:sz w:val="13"/>
              </w:rPr>
              <w:t>Laundering</w:t>
            </w:r>
          </w:p>
          <w:p>
            <w:pPr>
              <w:pStyle w:val="TableParagraph"/>
              <w:numPr>
                <w:ilvl w:val="0"/>
                <w:numId w:val="63"/>
              </w:numPr>
              <w:tabs>
                <w:tab w:pos="195" w:val="left" w:leader="none"/>
              </w:tabs>
              <w:spacing w:line="240" w:lineRule="auto" w:before="14" w:after="0"/>
              <w:ind w:left="194" w:right="0" w:hanging="174"/>
              <w:jc w:val="left"/>
              <w:rPr>
                <w:sz w:val="13"/>
              </w:rPr>
            </w:pPr>
            <w:r>
              <w:rPr>
                <w:sz w:val="13"/>
              </w:rPr>
              <w:t>Organised Acquisitive</w:t>
            </w:r>
            <w:r>
              <w:rPr>
                <w:spacing w:val="-1"/>
                <w:sz w:val="13"/>
              </w:rPr>
              <w:t> </w:t>
            </w:r>
            <w:r>
              <w:rPr>
                <w:sz w:val="13"/>
              </w:rPr>
              <w:t>Crime</w:t>
            </w:r>
          </w:p>
          <w:p>
            <w:pPr>
              <w:pStyle w:val="TableParagraph"/>
              <w:numPr>
                <w:ilvl w:val="0"/>
                <w:numId w:val="63"/>
              </w:numPr>
              <w:tabs>
                <w:tab w:pos="255" w:val="left" w:leader="none"/>
              </w:tabs>
              <w:spacing w:line="137" w:lineRule="exact" w:before="14" w:after="0"/>
              <w:ind w:left="254" w:right="0" w:hanging="234"/>
              <w:jc w:val="left"/>
              <w:rPr>
                <w:sz w:val="13"/>
              </w:rPr>
            </w:pPr>
            <w:r>
              <w:rPr>
                <w:sz w:val="13"/>
              </w:rPr>
              <w:t>Organised Immigration</w:t>
            </w:r>
            <w:r>
              <w:rPr>
                <w:spacing w:val="-6"/>
                <w:sz w:val="13"/>
              </w:rPr>
              <w:t> </w:t>
            </w:r>
            <w:r>
              <w:rPr>
                <w:sz w:val="13"/>
              </w:rPr>
              <w:t>Crime</w:t>
            </w: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40" w:type="dxa"/>
            <w:tcBorders>
              <w:top w:val="single" w:sz="8" w:space="0" w:color="000000"/>
              <w:bottom w:val="single" w:sz="8" w:space="0" w:color="000000"/>
            </w:tcBorders>
            <w:shd w:val="clear" w:color="auto" w:fill="FF0000"/>
          </w:tcPr>
          <w:p>
            <w:pPr>
              <w:pStyle w:val="TableParagraph"/>
              <w:spacing w:before="4"/>
              <w:ind w:left="20"/>
              <w:rPr>
                <w:sz w:val="13"/>
              </w:rPr>
            </w:pPr>
            <w:r>
              <w:rPr>
                <w:sz w:val="13"/>
              </w:rPr>
              <w:t>(1) 12.5</w:t>
            </w:r>
          </w:p>
          <w:p>
            <w:pPr>
              <w:pStyle w:val="TableParagraph"/>
              <w:spacing w:before="15"/>
              <w:ind w:left="20"/>
              <w:rPr>
                <w:sz w:val="13"/>
              </w:rPr>
            </w:pPr>
            <w:r>
              <w:rPr>
                <w:sz w:val="13"/>
              </w:rPr>
              <w:t>(2) 38.25</w:t>
            </w:r>
          </w:p>
          <w:p>
            <w:pPr>
              <w:pStyle w:val="TableParagraph"/>
              <w:spacing w:before="14"/>
              <w:ind w:left="20"/>
              <w:rPr>
                <w:sz w:val="13"/>
              </w:rPr>
            </w:pPr>
            <w:r>
              <w:rPr>
                <w:sz w:val="13"/>
              </w:rPr>
              <w:t>(3) 13.125</w:t>
            </w:r>
          </w:p>
          <w:p>
            <w:pPr>
              <w:pStyle w:val="TableParagraph"/>
              <w:spacing w:before="14"/>
              <w:ind w:left="20"/>
              <w:rPr>
                <w:sz w:val="13"/>
              </w:rPr>
            </w:pPr>
            <w:r>
              <w:rPr>
                <w:sz w:val="13"/>
              </w:rPr>
              <w:t>(4) 16.25</w:t>
            </w:r>
          </w:p>
          <w:p>
            <w:pPr>
              <w:pStyle w:val="TableParagraph"/>
              <w:spacing w:before="14"/>
              <w:ind w:left="20"/>
              <w:rPr>
                <w:sz w:val="13"/>
              </w:rPr>
            </w:pPr>
            <w:r>
              <w:rPr>
                <w:sz w:val="13"/>
              </w:rPr>
              <w:t>(5) 19.125</w:t>
            </w:r>
          </w:p>
          <w:p>
            <w:pPr>
              <w:pStyle w:val="TableParagraph"/>
              <w:spacing w:before="14"/>
              <w:ind w:left="20"/>
              <w:rPr>
                <w:sz w:val="13"/>
              </w:rPr>
            </w:pPr>
            <w:r>
              <w:rPr>
                <w:sz w:val="13"/>
              </w:rPr>
              <w:t>(6) 33</w:t>
            </w:r>
          </w:p>
          <w:p>
            <w:pPr>
              <w:pStyle w:val="TableParagraph"/>
              <w:spacing w:before="14"/>
              <w:ind w:left="20"/>
              <w:rPr>
                <w:sz w:val="13"/>
              </w:rPr>
            </w:pPr>
            <w:r>
              <w:rPr>
                <w:sz w:val="13"/>
              </w:rPr>
              <w:t>(7) 18.375</w:t>
            </w:r>
          </w:p>
          <w:p>
            <w:pPr>
              <w:pStyle w:val="TableParagraph"/>
              <w:spacing w:before="15"/>
              <w:ind w:left="20"/>
              <w:rPr>
                <w:sz w:val="13"/>
              </w:rPr>
            </w:pPr>
            <w:r>
              <w:rPr>
                <w:sz w:val="13"/>
              </w:rPr>
              <w:t>(8) 7.5</w:t>
            </w:r>
          </w:p>
          <w:p>
            <w:pPr>
              <w:pStyle w:val="TableParagraph"/>
              <w:spacing w:before="14"/>
              <w:ind w:left="20"/>
              <w:rPr>
                <w:sz w:val="13"/>
              </w:rPr>
            </w:pPr>
            <w:r>
              <w:rPr>
                <w:sz w:val="13"/>
              </w:rPr>
              <w:t>(9) 14.875</w:t>
            </w:r>
          </w:p>
          <w:p>
            <w:pPr>
              <w:pStyle w:val="TableParagraph"/>
              <w:spacing w:line="137" w:lineRule="exact" w:before="14"/>
              <w:ind w:left="20"/>
              <w:rPr>
                <w:sz w:val="13"/>
              </w:rPr>
            </w:pPr>
            <w:r>
              <w:rPr>
                <w:sz w:val="13"/>
              </w:rPr>
              <w:t>(10) 14</w:t>
            </w:r>
          </w:p>
        </w:tc>
        <w:tc>
          <w:tcPr>
            <w:tcW w:w="640" w:type="dxa"/>
            <w:tcBorders>
              <w:top w:val="single" w:sz="8" w:space="0" w:color="000000"/>
              <w:bottom w:val="single" w:sz="8" w:space="0" w:color="000000"/>
            </w:tcBorders>
            <w:shd w:val="clear" w:color="auto" w:fill="FFC000"/>
          </w:tcPr>
          <w:p>
            <w:pPr>
              <w:pStyle w:val="TableParagraph"/>
              <w:rPr>
                <w:rFonts w:ascii="Times New Roman"/>
                <w:sz w:val="12"/>
              </w:rPr>
            </w:pPr>
          </w:p>
        </w:tc>
        <w:tc>
          <w:tcPr>
            <w:tcW w:w="675" w:type="dxa"/>
            <w:tcBorders>
              <w:top w:val="single" w:sz="8" w:space="0" w:color="000000"/>
              <w:bottom w:val="single" w:sz="8" w:space="0" w:color="000000"/>
            </w:tcBorders>
            <w:shd w:val="clear" w:color="auto" w:fill="FFC000"/>
          </w:tcPr>
          <w:p>
            <w:pPr>
              <w:pStyle w:val="TableParagraph"/>
              <w:rPr>
                <w:rFonts w:ascii="Times New Roman"/>
                <w:sz w:val="12"/>
              </w:rPr>
            </w:pPr>
          </w:p>
        </w:tc>
        <w:tc>
          <w:tcPr>
            <w:tcW w:w="705" w:type="dxa"/>
            <w:tcBorders>
              <w:top w:val="single" w:sz="8" w:space="0" w:color="000000"/>
              <w:bottom w:val="single" w:sz="8" w:space="0" w:color="000000"/>
              <w:right w:val="single" w:sz="8" w:space="0" w:color="000000"/>
            </w:tcBorders>
            <w:shd w:val="clear" w:color="auto" w:fill="FFC000"/>
          </w:tcPr>
          <w:p>
            <w:pPr>
              <w:pStyle w:val="TableParagraph"/>
              <w:rPr>
                <w:rFonts w:ascii="Times New Roman"/>
                <w:sz w:val="12"/>
              </w:rPr>
            </w:pPr>
          </w:p>
        </w:tc>
      </w:tr>
      <w:tr>
        <w:trPr>
          <w:trHeight w:val="191" w:hRule="atLeast"/>
        </w:trPr>
        <w:tc>
          <w:tcPr>
            <w:tcW w:w="1443" w:type="dxa"/>
            <w:vMerge w:val="restart"/>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6"/>
              </w:rPr>
            </w:pPr>
          </w:p>
          <w:p>
            <w:pPr>
              <w:pStyle w:val="TableParagraph"/>
              <w:ind w:left="20"/>
              <w:rPr>
                <w:b/>
                <w:sz w:val="13"/>
              </w:rPr>
            </w:pPr>
            <w:r>
              <w:rPr>
                <w:b/>
                <w:sz w:val="13"/>
              </w:rPr>
              <w:t>Chapter 9: Major Events</w:t>
            </w:r>
          </w:p>
        </w:tc>
        <w:tc>
          <w:tcPr>
            <w:tcW w:w="2048" w:type="dxa"/>
            <w:tcBorders>
              <w:top w:val="single" w:sz="8" w:space="0" w:color="000000"/>
            </w:tcBorders>
          </w:tcPr>
          <w:p>
            <w:pPr>
              <w:pStyle w:val="TableParagraph"/>
              <w:spacing w:line="150" w:lineRule="exact" w:before="22"/>
              <w:ind w:left="21"/>
              <w:rPr>
                <w:sz w:val="13"/>
              </w:rPr>
            </w:pPr>
            <w:r>
              <w:rPr>
                <w:sz w:val="13"/>
              </w:rPr>
              <w:t>Armed Policing</w:t>
            </w:r>
          </w:p>
        </w:tc>
        <w:tc>
          <w:tcPr>
            <w:tcW w:w="2152" w:type="dxa"/>
            <w:tcBorders>
              <w:top w:val="single" w:sz="8" w:space="0" w:color="000000"/>
            </w:tcBorders>
          </w:tcPr>
          <w:p>
            <w:pPr>
              <w:pStyle w:val="TableParagraph"/>
              <w:spacing w:line="150" w:lineRule="exact" w:before="22"/>
              <w:ind w:left="21"/>
              <w:rPr>
                <w:sz w:val="13"/>
              </w:rPr>
            </w:pPr>
            <w:r>
              <w:rPr>
                <w:sz w:val="13"/>
              </w:rPr>
              <w:t>N/A</w:t>
            </w:r>
          </w:p>
        </w:tc>
        <w:tc>
          <w:tcPr>
            <w:tcW w:w="640" w:type="dxa"/>
            <w:tcBorders>
              <w:top w:val="single" w:sz="8" w:space="0" w:color="000000"/>
            </w:tcBorders>
            <w:shd w:val="clear" w:color="auto" w:fill="6FAC46"/>
          </w:tcPr>
          <w:p>
            <w:pPr>
              <w:pStyle w:val="TableParagraph"/>
              <w:rPr>
                <w:rFonts w:ascii="Times New Roman"/>
                <w:sz w:val="12"/>
              </w:rPr>
            </w:pPr>
          </w:p>
        </w:tc>
        <w:tc>
          <w:tcPr>
            <w:tcW w:w="640" w:type="dxa"/>
            <w:tcBorders>
              <w:top w:val="single" w:sz="8" w:space="0" w:color="000000"/>
            </w:tcBorders>
            <w:shd w:val="clear" w:color="auto" w:fill="FFFF00"/>
          </w:tcPr>
          <w:p>
            <w:pPr>
              <w:pStyle w:val="TableParagraph"/>
              <w:rPr>
                <w:rFonts w:ascii="Times New Roman"/>
                <w:sz w:val="12"/>
              </w:rPr>
            </w:pPr>
          </w:p>
        </w:tc>
        <w:tc>
          <w:tcPr>
            <w:tcW w:w="640" w:type="dxa"/>
            <w:tcBorders>
              <w:top w:val="single" w:sz="8" w:space="0" w:color="000000"/>
            </w:tcBorders>
          </w:tcPr>
          <w:p>
            <w:pPr>
              <w:pStyle w:val="TableParagraph"/>
              <w:spacing w:line="150" w:lineRule="exact" w:before="22"/>
              <w:ind w:left="20"/>
              <w:rPr>
                <w:sz w:val="13"/>
              </w:rPr>
            </w:pPr>
            <w:r>
              <w:rPr>
                <w:sz w:val="13"/>
              </w:rPr>
              <w:t>N/A</w:t>
            </w:r>
          </w:p>
        </w:tc>
        <w:tc>
          <w:tcPr>
            <w:tcW w:w="640" w:type="dxa"/>
            <w:tcBorders>
              <w:top w:val="single" w:sz="8" w:space="0" w:color="000000"/>
            </w:tcBorders>
            <w:shd w:val="clear" w:color="auto" w:fill="FFC000"/>
          </w:tcPr>
          <w:p>
            <w:pPr>
              <w:pStyle w:val="TableParagraph"/>
              <w:rPr>
                <w:rFonts w:ascii="Times New Roman"/>
                <w:sz w:val="12"/>
              </w:rPr>
            </w:pPr>
          </w:p>
        </w:tc>
        <w:tc>
          <w:tcPr>
            <w:tcW w:w="675" w:type="dxa"/>
            <w:tcBorders>
              <w:top w:val="single" w:sz="8" w:space="0" w:color="000000"/>
            </w:tcBorders>
            <w:shd w:val="clear" w:color="auto" w:fill="FFC000"/>
          </w:tcPr>
          <w:p>
            <w:pPr>
              <w:pStyle w:val="TableParagraph"/>
              <w:rPr>
                <w:rFonts w:ascii="Times New Roman"/>
                <w:sz w:val="12"/>
              </w:rPr>
            </w:pPr>
          </w:p>
        </w:tc>
        <w:tc>
          <w:tcPr>
            <w:tcW w:w="705" w:type="dxa"/>
            <w:tcBorders>
              <w:top w:val="single" w:sz="8" w:space="0" w:color="000000"/>
              <w:right w:val="single" w:sz="8" w:space="0" w:color="000000"/>
            </w:tcBorders>
            <w:shd w:val="clear" w:color="auto" w:fill="FFFF00"/>
          </w:tcPr>
          <w:p>
            <w:pPr>
              <w:pStyle w:val="TableParagraph"/>
              <w:rPr>
                <w:rFonts w:ascii="Times New Roman"/>
                <w:sz w:val="12"/>
              </w:rPr>
            </w:pPr>
          </w:p>
        </w:tc>
      </w:tr>
      <w:tr>
        <w:trPr>
          <w:trHeight w:val="325"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before="87"/>
              <w:ind w:left="21"/>
              <w:rPr>
                <w:sz w:val="13"/>
              </w:rPr>
            </w:pPr>
            <w:r>
              <w:rPr>
                <w:sz w:val="13"/>
              </w:rPr>
              <w:t>Roads Policing</w:t>
            </w:r>
          </w:p>
        </w:tc>
        <w:tc>
          <w:tcPr>
            <w:tcW w:w="2152" w:type="dxa"/>
          </w:tcPr>
          <w:p>
            <w:pPr>
              <w:pStyle w:val="TableParagraph"/>
              <w:numPr>
                <w:ilvl w:val="0"/>
                <w:numId w:val="64"/>
              </w:numPr>
              <w:tabs>
                <w:tab w:pos="195" w:val="left" w:leader="none"/>
              </w:tabs>
              <w:spacing w:line="240" w:lineRule="auto" w:before="0" w:after="0"/>
              <w:ind w:left="194" w:right="0" w:hanging="174"/>
              <w:jc w:val="left"/>
              <w:rPr>
                <w:sz w:val="13"/>
              </w:rPr>
            </w:pPr>
            <w:r>
              <w:rPr>
                <w:sz w:val="13"/>
              </w:rPr>
              <w:t>Road Traffic Collisions (KSI</w:t>
            </w:r>
            <w:r>
              <w:rPr>
                <w:spacing w:val="-12"/>
                <w:sz w:val="13"/>
              </w:rPr>
              <w:t> </w:t>
            </w:r>
            <w:r>
              <w:rPr>
                <w:sz w:val="13"/>
              </w:rPr>
              <w:t>occs)</w:t>
            </w:r>
          </w:p>
          <w:p>
            <w:pPr>
              <w:pStyle w:val="TableParagraph"/>
              <w:numPr>
                <w:ilvl w:val="0"/>
                <w:numId w:val="64"/>
              </w:numPr>
              <w:tabs>
                <w:tab w:pos="195" w:val="left" w:leader="none"/>
              </w:tabs>
              <w:spacing w:line="133" w:lineRule="exact" w:before="14" w:after="0"/>
              <w:ind w:left="194" w:right="0" w:hanging="174"/>
              <w:jc w:val="left"/>
              <w:rPr>
                <w:sz w:val="13"/>
              </w:rPr>
            </w:pPr>
            <w:r>
              <w:rPr>
                <w:sz w:val="13"/>
              </w:rPr>
              <w:t>Motoring</w:t>
            </w:r>
            <w:r>
              <w:rPr>
                <w:spacing w:val="-4"/>
                <w:sz w:val="13"/>
              </w:rPr>
              <w:t> </w:t>
            </w:r>
            <w:r>
              <w:rPr>
                <w:sz w:val="13"/>
              </w:rPr>
              <w:t>Offences</w:t>
            </w:r>
          </w:p>
        </w:tc>
        <w:tc>
          <w:tcPr>
            <w:tcW w:w="640" w:type="dxa"/>
            <w:shd w:val="clear" w:color="auto" w:fill="FFFF00"/>
          </w:tcPr>
          <w:p>
            <w:pPr>
              <w:pStyle w:val="TableParagraph"/>
              <w:rPr>
                <w:rFonts w:ascii="Times New Roman"/>
                <w:sz w:val="12"/>
              </w:rPr>
            </w:pPr>
          </w:p>
        </w:tc>
        <w:tc>
          <w:tcPr>
            <w:tcW w:w="640" w:type="dxa"/>
            <w:shd w:val="clear" w:color="auto" w:fill="FFFF00"/>
          </w:tcPr>
          <w:p>
            <w:pPr>
              <w:pStyle w:val="TableParagraph"/>
              <w:rPr>
                <w:rFonts w:ascii="Times New Roman"/>
                <w:sz w:val="12"/>
              </w:rPr>
            </w:pPr>
          </w:p>
        </w:tc>
        <w:tc>
          <w:tcPr>
            <w:tcW w:w="640" w:type="dxa"/>
            <w:shd w:val="clear" w:color="auto" w:fill="FF0000"/>
          </w:tcPr>
          <w:p>
            <w:pPr>
              <w:pStyle w:val="TableParagraph"/>
              <w:ind w:left="20"/>
              <w:rPr>
                <w:sz w:val="13"/>
              </w:rPr>
            </w:pPr>
            <w:r>
              <w:rPr>
                <w:sz w:val="13"/>
              </w:rPr>
              <w:t>(1)</w:t>
            </w:r>
            <w:r>
              <w:rPr>
                <w:spacing w:val="-3"/>
                <w:sz w:val="13"/>
              </w:rPr>
              <w:t> </w:t>
            </w:r>
            <w:r>
              <w:rPr>
                <w:spacing w:val="-5"/>
                <w:sz w:val="13"/>
              </w:rPr>
              <w:t>38.25</w:t>
            </w:r>
          </w:p>
          <w:p>
            <w:pPr>
              <w:pStyle w:val="TableParagraph"/>
              <w:spacing w:line="133" w:lineRule="exact" w:before="14"/>
              <w:ind w:left="20"/>
              <w:rPr>
                <w:sz w:val="13"/>
              </w:rPr>
            </w:pPr>
            <w:r>
              <w:rPr>
                <w:sz w:val="13"/>
              </w:rPr>
              <w:t>(2)</w:t>
            </w:r>
            <w:r>
              <w:rPr>
                <w:spacing w:val="-3"/>
                <w:sz w:val="13"/>
              </w:rPr>
              <w:t> </w:t>
            </w:r>
            <w:r>
              <w:rPr>
                <w:spacing w:val="-5"/>
                <w:sz w:val="13"/>
              </w:rPr>
              <w:t>31.25</w:t>
            </w:r>
          </w:p>
        </w:tc>
        <w:tc>
          <w:tcPr>
            <w:tcW w:w="640" w:type="dxa"/>
            <w:shd w:val="clear" w:color="auto" w:fill="FFFF00"/>
          </w:tcPr>
          <w:p>
            <w:pPr>
              <w:pStyle w:val="TableParagraph"/>
              <w:rPr>
                <w:rFonts w:ascii="Times New Roman"/>
                <w:sz w:val="12"/>
              </w:rPr>
            </w:pPr>
          </w:p>
        </w:tc>
        <w:tc>
          <w:tcPr>
            <w:tcW w:w="675" w:type="dxa"/>
            <w:shd w:val="clear" w:color="auto" w:fill="FFFF00"/>
          </w:tcPr>
          <w:p>
            <w:pPr>
              <w:pStyle w:val="TableParagraph"/>
              <w:rPr>
                <w:rFonts w:ascii="Times New Roman"/>
                <w:sz w:val="12"/>
              </w:rPr>
            </w:pPr>
          </w:p>
        </w:tc>
        <w:tc>
          <w:tcPr>
            <w:tcW w:w="705" w:type="dxa"/>
            <w:tcBorders>
              <w:right w:val="single" w:sz="8" w:space="0" w:color="000000"/>
            </w:tcBorders>
            <w:shd w:val="clear" w:color="auto" w:fill="FFFF00"/>
          </w:tcPr>
          <w:p>
            <w:pPr>
              <w:pStyle w:val="TableParagraph"/>
              <w:rPr>
                <w:rFonts w:ascii="Times New Roman"/>
                <w:sz w:val="12"/>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2" w:lineRule="exact"/>
              <w:ind w:left="21"/>
              <w:rPr>
                <w:sz w:val="13"/>
              </w:rPr>
            </w:pPr>
            <w:r>
              <w:rPr>
                <w:sz w:val="13"/>
              </w:rPr>
              <w:t>Public Order</w:t>
            </w:r>
          </w:p>
        </w:tc>
        <w:tc>
          <w:tcPr>
            <w:tcW w:w="2152" w:type="dxa"/>
          </w:tcPr>
          <w:p>
            <w:pPr>
              <w:pStyle w:val="TableParagraph"/>
              <w:spacing w:line="132" w:lineRule="exact"/>
              <w:ind w:left="21"/>
              <w:rPr>
                <w:sz w:val="13"/>
              </w:rPr>
            </w:pPr>
            <w:r>
              <w:rPr>
                <w:sz w:val="13"/>
              </w:rPr>
              <w:t>Policing protests/ Planned events</w:t>
            </w:r>
          </w:p>
        </w:tc>
        <w:tc>
          <w:tcPr>
            <w:tcW w:w="640" w:type="dxa"/>
            <w:shd w:val="clear" w:color="auto" w:fill="6FAC46"/>
          </w:tcPr>
          <w:p>
            <w:pPr>
              <w:pStyle w:val="TableParagraph"/>
              <w:rPr>
                <w:rFonts w:ascii="Times New Roman"/>
                <w:sz w:val="8"/>
              </w:rPr>
            </w:pPr>
          </w:p>
        </w:tc>
        <w:tc>
          <w:tcPr>
            <w:tcW w:w="640" w:type="dxa"/>
            <w:shd w:val="clear" w:color="auto" w:fill="6FAC46"/>
          </w:tcPr>
          <w:p>
            <w:pPr>
              <w:pStyle w:val="TableParagraph"/>
              <w:rPr>
                <w:rFonts w:ascii="Times New Roman"/>
                <w:sz w:val="8"/>
              </w:rPr>
            </w:pPr>
          </w:p>
        </w:tc>
        <w:tc>
          <w:tcPr>
            <w:tcW w:w="640" w:type="dxa"/>
            <w:shd w:val="clear" w:color="auto" w:fill="FFFF00"/>
          </w:tcPr>
          <w:p>
            <w:pPr>
              <w:pStyle w:val="TableParagraph"/>
              <w:spacing w:line="132" w:lineRule="exact"/>
              <w:ind w:left="20"/>
              <w:rPr>
                <w:sz w:val="13"/>
              </w:rPr>
            </w:pPr>
            <w:r>
              <w:rPr>
                <w:sz w:val="13"/>
              </w:rPr>
              <w:t>15.75</w:t>
            </w:r>
          </w:p>
        </w:tc>
        <w:tc>
          <w:tcPr>
            <w:tcW w:w="640" w:type="dxa"/>
            <w:shd w:val="clear" w:color="auto" w:fill="6FAC46"/>
          </w:tcPr>
          <w:p>
            <w:pPr>
              <w:pStyle w:val="TableParagraph"/>
              <w:rPr>
                <w:rFonts w:ascii="Times New Roman"/>
                <w:sz w:val="8"/>
              </w:rPr>
            </w:pPr>
          </w:p>
        </w:tc>
        <w:tc>
          <w:tcPr>
            <w:tcW w:w="675" w:type="dxa"/>
            <w:shd w:val="clear" w:color="auto" w:fill="6FAC46"/>
          </w:tcPr>
          <w:p>
            <w:pPr>
              <w:pStyle w:val="TableParagraph"/>
              <w:rPr>
                <w:rFonts w:ascii="Times New Roman"/>
                <w:sz w:val="8"/>
              </w:rPr>
            </w:pPr>
          </w:p>
        </w:tc>
        <w:tc>
          <w:tcPr>
            <w:tcW w:w="705" w:type="dxa"/>
            <w:tcBorders>
              <w:right w:val="single" w:sz="8" w:space="0" w:color="000000"/>
            </w:tcBorders>
            <w:shd w:val="clear" w:color="auto" w:fill="6FAC46"/>
          </w:tcPr>
          <w:p>
            <w:pPr>
              <w:pStyle w:val="TableParagraph"/>
              <w:rPr>
                <w:rFonts w:ascii="Times New Roman"/>
                <w:sz w:val="8"/>
              </w:rPr>
            </w:pPr>
          </w:p>
        </w:tc>
      </w:tr>
      <w:tr>
        <w:trPr>
          <w:trHeight w:val="187"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50" w:lineRule="exact" w:before="17"/>
              <w:ind w:left="21"/>
              <w:rPr>
                <w:sz w:val="13"/>
              </w:rPr>
            </w:pPr>
            <w:r>
              <w:rPr>
                <w:sz w:val="13"/>
              </w:rPr>
              <w:t>Counter Terrorism</w:t>
            </w:r>
          </w:p>
        </w:tc>
        <w:tc>
          <w:tcPr>
            <w:tcW w:w="2152" w:type="dxa"/>
          </w:tcPr>
          <w:p>
            <w:pPr>
              <w:pStyle w:val="TableParagraph"/>
              <w:spacing w:line="150" w:lineRule="exact" w:before="17"/>
              <w:ind w:left="21"/>
              <w:rPr>
                <w:sz w:val="13"/>
              </w:rPr>
            </w:pPr>
            <w:r>
              <w:rPr>
                <w:sz w:val="13"/>
              </w:rPr>
              <w:t>Terrorism</w:t>
            </w:r>
          </w:p>
        </w:tc>
        <w:tc>
          <w:tcPr>
            <w:tcW w:w="640" w:type="dxa"/>
            <w:shd w:val="clear" w:color="auto" w:fill="6FAC46"/>
          </w:tcPr>
          <w:p>
            <w:pPr>
              <w:pStyle w:val="TableParagraph"/>
              <w:rPr>
                <w:rFonts w:ascii="Times New Roman"/>
                <w:sz w:val="12"/>
              </w:rPr>
            </w:pPr>
          </w:p>
        </w:tc>
        <w:tc>
          <w:tcPr>
            <w:tcW w:w="640" w:type="dxa"/>
            <w:shd w:val="clear" w:color="auto" w:fill="FFC000"/>
          </w:tcPr>
          <w:p>
            <w:pPr>
              <w:pStyle w:val="TableParagraph"/>
              <w:rPr>
                <w:rFonts w:ascii="Times New Roman"/>
                <w:sz w:val="12"/>
              </w:rPr>
            </w:pPr>
          </w:p>
        </w:tc>
        <w:tc>
          <w:tcPr>
            <w:tcW w:w="640" w:type="dxa"/>
            <w:shd w:val="clear" w:color="auto" w:fill="FFFF00"/>
          </w:tcPr>
          <w:p>
            <w:pPr>
              <w:pStyle w:val="TableParagraph"/>
              <w:spacing w:line="150" w:lineRule="exact" w:before="17"/>
              <w:ind w:left="20"/>
              <w:rPr>
                <w:sz w:val="13"/>
              </w:rPr>
            </w:pPr>
            <w:r>
              <w:rPr>
                <w:sz w:val="13"/>
              </w:rPr>
              <w:t>17.25</w:t>
            </w:r>
          </w:p>
        </w:tc>
        <w:tc>
          <w:tcPr>
            <w:tcW w:w="640" w:type="dxa"/>
            <w:shd w:val="clear" w:color="auto" w:fill="6FAC46"/>
          </w:tcPr>
          <w:p>
            <w:pPr>
              <w:pStyle w:val="TableParagraph"/>
              <w:rPr>
                <w:rFonts w:ascii="Times New Roman"/>
                <w:sz w:val="12"/>
              </w:rPr>
            </w:pPr>
          </w:p>
        </w:tc>
        <w:tc>
          <w:tcPr>
            <w:tcW w:w="675" w:type="dxa"/>
            <w:shd w:val="clear" w:color="auto" w:fill="6FAC46"/>
          </w:tcPr>
          <w:p>
            <w:pPr>
              <w:pStyle w:val="TableParagraph"/>
              <w:rPr>
                <w:rFonts w:ascii="Times New Roman"/>
                <w:sz w:val="12"/>
              </w:rPr>
            </w:pPr>
          </w:p>
        </w:tc>
        <w:tc>
          <w:tcPr>
            <w:tcW w:w="705" w:type="dxa"/>
            <w:tcBorders>
              <w:right w:val="single" w:sz="8" w:space="0" w:color="000000"/>
            </w:tcBorders>
            <w:shd w:val="clear" w:color="auto" w:fill="6FAC46"/>
          </w:tcPr>
          <w:p>
            <w:pPr>
              <w:pStyle w:val="TableParagraph"/>
              <w:rPr>
                <w:rFonts w:ascii="Times New Roman"/>
                <w:sz w:val="12"/>
              </w:rPr>
            </w:pPr>
          </w:p>
        </w:tc>
      </w:tr>
      <w:tr>
        <w:trPr>
          <w:trHeight w:val="191" w:hRule="atLeast"/>
        </w:trPr>
        <w:tc>
          <w:tcPr>
            <w:tcW w:w="1443" w:type="dxa"/>
            <w:vMerge/>
            <w:tcBorders>
              <w:top w:val="nil"/>
              <w:bottom w:val="single" w:sz="8" w:space="0" w:color="000000"/>
            </w:tcBorders>
          </w:tcPr>
          <w:p>
            <w:pPr>
              <w:rPr>
                <w:sz w:val="2"/>
                <w:szCs w:val="2"/>
              </w:rPr>
            </w:pPr>
          </w:p>
        </w:tc>
        <w:tc>
          <w:tcPr>
            <w:tcW w:w="2048" w:type="dxa"/>
            <w:tcBorders>
              <w:bottom w:val="single" w:sz="8" w:space="0" w:color="000000"/>
            </w:tcBorders>
          </w:tcPr>
          <w:p>
            <w:pPr>
              <w:pStyle w:val="TableParagraph"/>
              <w:spacing w:line="154" w:lineRule="exact" w:before="17"/>
              <w:ind w:left="21"/>
              <w:rPr>
                <w:sz w:val="13"/>
              </w:rPr>
            </w:pPr>
            <w:r>
              <w:rPr>
                <w:sz w:val="13"/>
              </w:rPr>
              <w:t>Civil Contingencies</w:t>
            </w:r>
          </w:p>
        </w:tc>
        <w:tc>
          <w:tcPr>
            <w:tcW w:w="2152" w:type="dxa"/>
            <w:tcBorders>
              <w:bottom w:val="single" w:sz="8" w:space="0" w:color="000000"/>
            </w:tcBorders>
          </w:tcPr>
          <w:p>
            <w:pPr>
              <w:pStyle w:val="TableParagraph"/>
              <w:spacing w:line="154" w:lineRule="exact" w:before="17"/>
              <w:ind w:left="21"/>
              <w:rPr>
                <w:sz w:val="13"/>
              </w:rPr>
            </w:pPr>
            <w:r>
              <w:rPr>
                <w:sz w:val="13"/>
              </w:rPr>
              <w:t>N/A</w:t>
            </w:r>
          </w:p>
        </w:tc>
        <w:tc>
          <w:tcPr>
            <w:tcW w:w="640" w:type="dxa"/>
            <w:tcBorders>
              <w:bottom w:val="single" w:sz="8" w:space="0" w:color="000000"/>
            </w:tcBorders>
            <w:shd w:val="clear" w:color="auto" w:fill="6FAC46"/>
          </w:tcPr>
          <w:p>
            <w:pPr>
              <w:pStyle w:val="TableParagraph"/>
              <w:rPr>
                <w:rFonts w:ascii="Times New Roman"/>
                <w:sz w:val="12"/>
              </w:rPr>
            </w:pPr>
          </w:p>
        </w:tc>
        <w:tc>
          <w:tcPr>
            <w:tcW w:w="640" w:type="dxa"/>
            <w:tcBorders>
              <w:bottom w:val="single" w:sz="8" w:space="0" w:color="000000"/>
            </w:tcBorders>
            <w:shd w:val="clear" w:color="auto" w:fill="FFFF00"/>
          </w:tcPr>
          <w:p>
            <w:pPr>
              <w:pStyle w:val="TableParagraph"/>
              <w:rPr>
                <w:rFonts w:ascii="Times New Roman"/>
                <w:sz w:val="12"/>
              </w:rPr>
            </w:pPr>
          </w:p>
        </w:tc>
        <w:tc>
          <w:tcPr>
            <w:tcW w:w="640" w:type="dxa"/>
            <w:tcBorders>
              <w:bottom w:val="single" w:sz="8" w:space="0" w:color="000000"/>
            </w:tcBorders>
          </w:tcPr>
          <w:p>
            <w:pPr>
              <w:pStyle w:val="TableParagraph"/>
              <w:spacing w:line="154" w:lineRule="exact" w:before="17"/>
              <w:ind w:left="20"/>
              <w:rPr>
                <w:sz w:val="13"/>
              </w:rPr>
            </w:pPr>
            <w:r>
              <w:rPr>
                <w:sz w:val="13"/>
              </w:rPr>
              <w:t>N/A</w:t>
            </w:r>
          </w:p>
        </w:tc>
        <w:tc>
          <w:tcPr>
            <w:tcW w:w="640" w:type="dxa"/>
            <w:tcBorders>
              <w:bottom w:val="single" w:sz="8" w:space="0" w:color="000000"/>
            </w:tcBorders>
            <w:shd w:val="clear" w:color="auto" w:fill="6FAC46"/>
          </w:tcPr>
          <w:p>
            <w:pPr>
              <w:pStyle w:val="TableParagraph"/>
              <w:rPr>
                <w:rFonts w:ascii="Times New Roman"/>
                <w:sz w:val="12"/>
              </w:rPr>
            </w:pPr>
          </w:p>
        </w:tc>
        <w:tc>
          <w:tcPr>
            <w:tcW w:w="675" w:type="dxa"/>
            <w:tcBorders>
              <w:bottom w:val="single" w:sz="8" w:space="0" w:color="000000"/>
            </w:tcBorders>
            <w:shd w:val="clear" w:color="auto" w:fill="6FAC46"/>
          </w:tcPr>
          <w:p>
            <w:pPr>
              <w:pStyle w:val="TableParagraph"/>
              <w:rPr>
                <w:rFonts w:ascii="Times New Roman"/>
                <w:sz w:val="12"/>
              </w:rPr>
            </w:pPr>
          </w:p>
        </w:tc>
        <w:tc>
          <w:tcPr>
            <w:tcW w:w="705" w:type="dxa"/>
            <w:tcBorders>
              <w:bottom w:val="single" w:sz="8" w:space="0" w:color="000000"/>
              <w:right w:val="single" w:sz="8" w:space="0" w:color="000000"/>
            </w:tcBorders>
            <w:shd w:val="clear" w:color="auto" w:fill="6FAC46"/>
          </w:tcPr>
          <w:p>
            <w:pPr>
              <w:pStyle w:val="TableParagraph"/>
              <w:rPr>
                <w:rFonts w:ascii="Times New Roman"/>
                <w:sz w:val="12"/>
              </w:rPr>
            </w:pPr>
          </w:p>
        </w:tc>
      </w:tr>
      <w:tr>
        <w:trPr>
          <w:trHeight w:val="157" w:hRule="atLeast"/>
        </w:trPr>
        <w:tc>
          <w:tcPr>
            <w:tcW w:w="1443" w:type="dxa"/>
            <w:vMerge w:val="restart"/>
            <w:tcBorders>
              <w:top w:val="single" w:sz="8" w:space="0" w:color="000000"/>
              <w:bottom w:val="single" w:sz="8" w:space="0" w:color="000000"/>
            </w:tcBorders>
          </w:tcPr>
          <w:p>
            <w:pPr>
              <w:pStyle w:val="TableParagraph"/>
              <w:spacing w:before="6"/>
              <w:rPr>
                <w:sz w:val="14"/>
              </w:rPr>
            </w:pPr>
          </w:p>
          <w:p>
            <w:pPr>
              <w:pStyle w:val="TableParagraph"/>
              <w:spacing w:line="261" w:lineRule="auto"/>
              <w:ind w:left="20"/>
              <w:rPr>
                <w:b/>
                <w:sz w:val="13"/>
              </w:rPr>
            </w:pPr>
            <w:r>
              <w:rPr>
                <w:b/>
                <w:sz w:val="13"/>
              </w:rPr>
              <w:t>Chapter 10: Knowledge Management &amp; ICT</w:t>
            </w:r>
          </w:p>
        </w:tc>
        <w:tc>
          <w:tcPr>
            <w:tcW w:w="2048" w:type="dxa"/>
            <w:tcBorders>
              <w:top w:val="single" w:sz="8" w:space="0" w:color="000000"/>
            </w:tcBorders>
          </w:tcPr>
          <w:p>
            <w:pPr>
              <w:pStyle w:val="TableParagraph"/>
              <w:spacing w:line="132" w:lineRule="exact" w:before="4"/>
              <w:ind w:left="21"/>
              <w:rPr>
                <w:sz w:val="13"/>
              </w:rPr>
            </w:pPr>
            <w:r>
              <w:rPr>
                <w:sz w:val="13"/>
              </w:rPr>
              <w:t>ICT</w:t>
            </w:r>
          </w:p>
        </w:tc>
        <w:tc>
          <w:tcPr>
            <w:tcW w:w="2152" w:type="dxa"/>
            <w:tcBorders>
              <w:top w:val="single" w:sz="8" w:space="0" w:color="000000"/>
            </w:tcBorders>
          </w:tcPr>
          <w:p>
            <w:pPr>
              <w:pStyle w:val="TableParagraph"/>
              <w:spacing w:line="132" w:lineRule="exact" w:before="4"/>
              <w:ind w:left="21"/>
              <w:rPr>
                <w:sz w:val="13"/>
              </w:rPr>
            </w:pPr>
            <w:r>
              <w:rPr>
                <w:sz w:val="13"/>
              </w:rPr>
              <w:t>N/A</w:t>
            </w:r>
          </w:p>
        </w:tc>
        <w:tc>
          <w:tcPr>
            <w:tcW w:w="640" w:type="dxa"/>
            <w:tcBorders>
              <w:top w:val="single" w:sz="8" w:space="0" w:color="000000"/>
            </w:tcBorders>
            <w:shd w:val="clear" w:color="auto" w:fill="6FAC46"/>
          </w:tcPr>
          <w:p>
            <w:pPr>
              <w:pStyle w:val="TableParagraph"/>
              <w:rPr>
                <w:rFonts w:ascii="Times New Roman"/>
                <w:sz w:val="10"/>
              </w:rPr>
            </w:pPr>
          </w:p>
        </w:tc>
        <w:tc>
          <w:tcPr>
            <w:tcW w:w="640" w:type="dxa"/>
            <w:tcBorders>
              <w:top w:val="single" w:sz="8" w:space="0" w:color="000000"/>
            </w:tcBorders>
            <w:shd w:val="clear" w:color="auto" w:fill="FFFF00"/>
          </w:tcPr>
          <w:p>
            <w:pPr>
              <w:pStyle w:val="TableParagraph"/>
              <w:rPr>
                <w:rFonts w:ascii="Times New Roman"/>
                <w:sz w:val="10"/>
              </w:rPr>
            </w:pPr>
          </w:p>
        </w:tc>
        <w:tc>
          <w:tcPr>
            <w:tcW w:w="640" w:type="dxa"/>
            <w:tcBorders>
              <w:top w:val="single" w:sz="8" w:space="0" w:color="000000"/>
            </w:tcBorders>
          </w:tcPr>
          <w:p>
            <w:pPr>
              <w:pStyle w:val="TableParagraph"/>
              <w:spacing w:line="132" w:lineRule="exact" w:before="4"/>
              <w:ind w:left="20"/>
              <w:rPr>
                <w:sz w:val="13"/>
              </w:rPr>
            </w:pPr>
            <w:r>
              <w:rPr>
                <w:sz w:val="13"/>
              </w:rPr>
              <w:t>N/A</w:t>
            </w:r>
          </w:p>
        </w:tc>
        <w:tc>
          <w:tcPr>
            <w:tcW w:w="640" w:type="dxa"/>
            <w:tcBorders>
              <w:top w:val="single" w:sz="8" w:space="0" w:color="000000"/>
            </w:tcBorders>
            <w:shd w:val="clear" w:color="auto" w:fill="6FAC46"/>
          </w:tcPr>
          <w:p>
            <w:pPr>
              <w:pStyle w:val="TableParagraph"/>
              <w:rPr>
                <w:rFonts w:ascii="Times New Roman"/>
                <w:sz w:val="10"/>
              </w:rPr>
            </w:pPr>
          </w:p>
        </w:tc>
        <w:tc>
          <w:tcPr>
            <w:tcW w:w="675" w:type="dxa"/>
            <w:tcBorders>
              <w:top w:val="single" w:sz="8" w:space="0" w:color="000000"/>
            </w:tcBorders>
            <w:shd w:val="clear" w:color="auto" w:fill="6FAC46"/>
          </w:tcPr>
          <w:p>
            <w:pPr>
              <w:pStyle w:val="TableParagraph"/>
              <w:rPr>
                <w:rFonts w:ascii="Times New Roman"/>
                <w:sz w:val="10"/>
              </w:rPr>
            </w:pPr>
          </w:p>
        </w:tc>
        <w:tc>
          <w:tcPr>
            <w:tcW w:w="705" w:type="dxa"/>
            <w:tcBorders>
              <w:top w:val="single" w:sz="8" w:space="0" w:color="000000"/>
              <w:right w:val="single" w:sz="8" w:space="0" w:color="000000"/>
            </w:tcBorders>
            <w:shd w:val="clear" w:color="auto" w:fill="6FAC46"/>
          </w:tcPr>
          <w:p>
            <w:pPr>
              <w:pStyle w:val="TableParagraph"/>
              <w:rPr>
                <w:rFonts w:ascii="Times New Roman"/>
                <w:sz w:val="10"/>
              </w:rPr>
            </w:pPr>
          </w:p>
        </w:tc>
      </w:tr>
      <w:tr>
        <w:trPr>
          <w:trHeight w:val="503" w:hRule="atLeast"/>
        </w:trPr>
        <w:tc>
          <w:tcPr>
            <w:tcW w:w="1443" w:type="dxa"/>
            <w:vMerge/>
            <w:tcBorders>
              <w:top w:val="nil"/>
              <w:bottom w:val="single" w:sz="8" w:space="0" w:color="000000"/>
            </w:tcBorders>
          </w:tcPr>
          <w:p>
            <w:pPr>
              <w:rPr>
                <w:sz w:val="2"/>
                <w:szCs w:val="2"/>
              </w:rPr>
            </w:pPr>
          </w:p>
        </w:tc>
        <w:tc>
          <w:tcPr>
            <w:tcW w:w="2048" w:type="dxa"/>
            <w:tcBorders>
              <w:bottom w:val="single" w:sz="8" w:space="0" w:color="000000"/>
            </w:tcBorders>
          </w:tcPr>
          <w:p>
            <w:pPr>
              <w:pStyle w:val="TableParagraph"/>
              <w:spacing w:line="261" w:lineRule="auto"/>
              <w:ind w:left="21" w:right="27"/>
              <w:rPr>
                <w:sz w:val="13"/>
              </w:rPr>
            </w:pPr>
            <w:r>
              <w:rPr>
                <w:sz w:val="13"/>
              </w:rPr>
              <w:t>Knowledge Management - Intelligence (Covert, Operational and</w:t>
            </w:r>
          </w:p>
          <w:p>
            <w:pPr>
              <w:pStyle w:val="TableParagraph"/>
              <w:spacing w:line="137" w:lineRule="exact"/>
              <w:ind w:left="21"/>
              <w:rPr>
                <w:sz w:val="13"/>
              </w:rPr>
            </w:pPr>
            <w:r>
              <w:rPr>
                <w:sz w:val="13"/>
              </w:rPr>
              <w:t>Business)</w:t>
            </w:r>
          </w:p>
        </w:tc>
        <w:tc>
          <w:tcPr>
            <w:tcW w:w="2152" w:type="dxa"/>
            <w:tcBorders>
              <w:bottom w:val="single" w:sz="8" w:space="0" w:color="000000"/>
            </w:tcBorders>
          </w:tcPr>
          <w:p>
            <w:pPr>
              <w:pStyle w:val="TableParagraph"/>
              <w:spacing w:before="2"/>
              <w:rPr>
                <w:sz w:val="14"/>
              </w:rPr>
            </w:pPr>
          </w:p>
          <w:p>
            <w:pPr>
              <w:pStyle w:val="TableParagraph"/>
              <w:ind w:left="21"/>
              <w:rPr>
                <w:sz w:val="13"/>
              </w:rPr>
            </w:pPr>
            <w:r>
              <w:rPr>
                <w:sz w:val="13"/>
              </w:rPr>
              <w:t>N/A</w:t>
            </w:r>
          </w:p>
        </w:tc>
        <w:tc>
          <w:tcPr>
            <w:tcW w:w="640" w:type="dxa"/>
            <w:tcBorders>
              <w:bottom w:val="single" w:sz="8" w:space="0" w:color="000000"/>
            </w:tcBorders>
            <w:shd w:val="clear" w:color="auto" w:fill="FFC000"/>
          </w:tcPr>
          <w:p>
            <w:pPr>
              <w:pStyle w:val="TableParagraph"/>
              <w:rPr>
                <w:rFonts w:ascii="Times New Roman"/>
                <w:sz w:val="12"/>
              </w:rPr>
            </w:pPr>
          </w:p>
        </w:tc>
        <w:tc>
          <w:tcPr>
            <w:tcW w:w="640" w:type="dxa"/>
            <w:tcBorders>
              <w:bottom w:val="single" w:sz="8" w:space="0" w:color="000000"/>
            </w:tcBorders>
            <w:shd w:val="clear" w:color="auto" w:fill="FFC000"/>
          </w:tcPr>
          <w:p>
            <w:pPr>
              <w:pStyle w:val="TableParagraph"/>
              <w:rPr>
                <w:rFonts w:ascii="Times New Roman"/>
                <w:sz w:val="12"/>
              </w:rPr>
            </w:pPr>
          </w:p>
        </w:tc>
        <w:tc>
          <w:tcPr>
            <w:tcW w:w="640" w:type="dxa"/>
            <w:tcBorders>
              <w:bottom w:val="single" w:sz="8" w:space="0" w:color="000000"/>
            </w:tcBorders>
          </w:tcPr>
          <w:p>
            <w:pPr>
              <w:pStyle w:val="TableParagraph"/>
              <w:spacing w:before="2"/>
              <w:rPr>
                <w:sz w:val="14"/>
              </w:rPr>
            </w:pPr>
          </w:p>
          <w:p>
            <w:pPr>
              <w:pStyle w:val="TableParagraph"/>
              <w:ind w:left="20"/>
              <w:rPr>
                <w:sz w:val="13"/>
              </w:rPr>
            </w:pPr>
            <w:r>
              <w:rPr>
                <w:sz w:val="13"/>
              </w:rPr>
              <w:t>N/A</w:t>
            </w:r>
          </w:p>
        </w:tc>
        <w:tc>
          <w:tcPr>
            <w:tcW w:w="640" w:type="dxa"/>
            <w:tcBorders>
              <w:bottom w:val="single" w:sz="8" w:space="0" w:color="000000"/>
            </w:tcBorders>
            <w:shd w:val="clear" w:color="auto" w:fill="FFC000"/>
          </w:tcPr>
          <w:p>
            <w:pPr>
              <w:pStyle w:val="TableParagraph"/>
              <w:rPr>
                <w:rFonts w:ascii="Times New Roman"/>
                <w:sz w:val="12"/>
              </w:rPr>
            </w:pPr>
          </w:p>
        </w:tc>
        <w:tc>
          <w:tcPr>
            <w:tcW w:w="675" w:type="dxa"/>
            <w:tcBorders>
              <w:bottom w:val="single" w:sz="8" w:space="0" w:color="000000"/>
            </w:tcBorders>
            <w:shd w:val="clear" w:color="auto" w:fill="FFC000"/>
          </w:tcPr>
          <w:p>
            <w:pPr>
              <w:pStyle w:val="TableParagraph"/>
              <w:rPr>
                <w:rFonts w:ascii="Times New Roman"/>
                <w:sz w:val="12"/>
              </w:rPr>
            </w:pPr>
          </w:p>
        </w:tc>
        <w:tc>
          <w:tcPr>
            <w:tcW w:w="705" w:type="dxa"/>
            <w:tcBorders>
              <w:bottom w:val="single" w:sz="8" w:space="0" w:color="000000"/>
              <w:right w:val="single" w:sz="8" w:space="0" w:color="000000"/>
            </w:tcBorders>
            <w:shd w:val="clear" w:color="auto" w:fill="FFC000"/>
          </w:tcPr>
          <w:p>
            <w:pPr>
              <w:pStyle w:val="TableParagraph"/>
              <w:rPr>
                <w:rFonts w:ascii="Times New Roman"/>
                <w:sz w:val="12"/>
              </w:rPr>
            </w:pPr>
          </w:p>
        </w:tc>
      </w:tr>
      <w:tr>
        <w:trPr>
          <w:trHeight w:val="157" w:hRule="atLeast"/>
        </w:trPr>
        <w:tc>
          <w:tcPr>
            <w:tcW w:w="1443" w:type="dxa"/>
            <w:vMerge w:val="restart"/>
            <w:tcBorders>
              <w:top w:val="single" w:sz="8" w:space="0" w:color="000000"/>
              <w:bottom w:val="single" w:sz="8" w:space="0" w:color="000000"/>
            </w:tcBorders>
          </w:tcPr>
          <w:p>
            <w:pPr>
              <w:pStyle w:val="TableParagraph"/>
              <w:rPr>
                <w:sz w:val="12"/>
              </w:rPr>
            </w:pPr>
          </w:p>
          <w:p>
            <w:pPr>
              <w:pStyle w:val="TableParagraph"/>
              <w:rPr>
                <w:sz w:val="12"/>
              </w:rPr>
            </w:pPr>
          </w:p>
          <w:p>
            <w:pPr>
              <w:pStyle w:val="TableParagraph"/>
              <w:rPr>
                <w:sz w:val="12"/>
              </w:rPr>
            </w:pPr>
          </w:p>
          <w:p>
            <w:pPr>
              <w:pStyle w:val="TableParagraph"/>
              <w:spacing w:before="11"/>
              <w:rPr>
                <w:sz w:val="13"/>
              </w:rPr>
            </w:pPr>
          </w:p>
          <w:p>
            <w:pPr>
              <w:pStyle w:val="TableParagraph"/>
              <w:spacing w:line="261" w:lineRule="auto" w:before="1"/>
              <w:ind w:left="20"/>
              <w:rPr>
                <w:b/>
                <w:sz w:val="13"/>
              </w:rPr>
            </w:pPr>
            <w:r>
              <w:rPr>
                <w:b/>
                <w:sz w:val="13"/>
              </w:rPr>
              <w:t>Chapter 11: Force-wide Functions</w:t>
            </w:r>
          </w:p>
        </w:tc>
        <w:tc>
          <w:tcPr>
            <w:tcW w:w="2048" w:type="dxa"/>
            <w:tcBorders>
              <w:top w:val="single" w:sz="8" w:space="0" w:color="000000"/>
            </w:tcBorders>
          </w:tcPr>
          <w:p>
            <w:pPr>
              <w:pStyle w:val="TableParagraph"/>
              <w:spacing w:line="132" w:lineRule="exact" w:before="5"/>
              <w:ind w:left="21"/>
              <w:rPr>
                <w:sz w:val="13"/>
              </w:rPr>
            </w:pPr>
            <w:r>
              <w:rPr>
                <w:sz w:val="13"/>
              </w:rPr>
              <w:t>Professional Standards</w:t>
            </w:r>
          </w:p>
        </w:tc>
        <w:tc>
          <w:tcPr>
            <w:tcW w:w="2152" w:type="dxa"/>
            <w:tcBorders>
              <w:top w:val="single" w:sz="8" w:space="0" w:color="000000"/>
            </w:tcBorders>
          </w:tcPr>
          <w:p>
            <w:pPr>
              <w:pStyle w:val="TableParagraph"/>
              <w:spacing w:line="132" w:lineRule="exact" w:before="5"/>
              <w:ind w:left="21"/>
              <w:rPr>
                <w:sz w:val="13"/>
              </w:rPr>
            </w:pPr>
            <w:r>
              <w:rPr>
                <w:sz w:val="13"/>
              </w:rPr>
              <w:t>N/A</w:t>
            </w:r>
          </w:p>
        </w:tc>
        <w:tc>
          <w:tcPr>
            <w:tcW w:w="640" w:type="dxa"/>
            <w:tcBorders>
              <w:top w:val="single" w:sz="8" w:space="0" w:color="000000"/>
            </w:tcBorders>
            <w:shd w:val="clear" w:color="auto" w:fill="FF0000"/>
          </w:tcPr>
          <w:p>
            <w:pPr>
              <w:pStyle w:val="TableParagraph"/>
              <w:rPr>
                <w:rFonts w:ascii="Times New Roman"/>
                <w:sz w:val="10"/>
              </w:rPr>
            </w:pPr>
          </w:p>
        </w:tc>
        <w:tc>
          <w:tcPr>
            <w:tcW w:w="640" w:type="dxa"/>
            <w:tcBorders>
              <w:top w:val="single" w:sz="8" w:space="0" w:color="000000"/>
            </w:tcBorders>
            <w:shd w:val="clear" w:color="auto" w:fill="FFC000"/>
          </w:tcPr>
          <w:p>
            <w:pPr>
              <w:pStyle w:val="TableParagraph"/>
              <w:rPr>
                <w:rFonts w:ascii="Times New Roman"/>
                <w:sz w:val="10"/>
              </w:rPr>
            </w:pPr>
          </w:p>
        </w:tc>
        <w:tc>
          <w:tcPr>
            <w:tcW w:w="640" w:type="dxa"/>
            <w:tcBorders>
              <w:top w:val="single" w:sz="8" w:space="0" w:color="000000"/>
            </w:tcBorders>
          </w:tcPr>
          <w:p>
            <w:pPr>
              <w:pStyle w:val="TableParagraph"/>
              <w:spacing w:line="132" w:lineRule="exact" w:before="5"/>
              <w:ind w:left="20"/>
              <w:rPr>
                <w:sz w:val="13"/>
              </w:rPr>
            </w:pPr>
            <w:r>
              <w:rPr>
                <w:sz w:val="13"/>
              </w:rPr>
              <w:t>N/A</w:t>
            </w:r>
          </w:p>
        </w:tc>
        <w:tc>
          <w:tcPr>
            <w:tcW w:w="640" w:type="dxa"/>
            <w:tcBorders>
              <w:top w:val="single" w:sz="8" w:space="0" w:color="000000"/>
            </w:tcBorders>
            <w:shd w:val="clear" w:color="auto" w:fill="FFC000"/>
          </w:tcPr>
          <w:p>
            <w:pPr>
              <w:pStyle w:val="TableParagraph"/>
              <w:rPr>
                <w:rFonts w:ascii="Times New Roman"/>
                <w:sz w:val="10"/>
              </w:rPr>
            </w:pPr>
          </w:p>
        </w:tc>
        <w:tc>
          <w:tcPr>
            <w:tcW w:w="675" w:type="dxa"/>
            <w:tcBorders>
              <w:top w:val="single" w:sz="8" w:space="0" w:color="000000"/>
            </w:tcBorders>
            <w:shd w:val="clear" w:color="auto" w:fill="FFC000"/>
          </w:tcPr>
          <w:p>
            <w:pPr>
              <w:pStyle w:val="TableParagraph"/>
              <w:rPr>
                <w:rFonts w:ascii="Times New Roman"/>
                <w:sz w:val="10"/>
              </w:rPr>
            </w:pPr>
          </w:p>
        </w:tc>
        <w:tc>
          <w:tcPr>
            <w:tcW w:w="705" w:type="dxa"/>
            <w:tcBorders>
              <w:top w:val="single" w:sz="8" w:space="0" w:color="000000"/>
              <w:right w:val="single" w:sz="8" w:space="0" w:color="000000"/>
            </w:tcBorders>
            <w:shd w:val="clear" w:color="auto" w:fill="FFC000"/>
          </w:tcPr>
          <w:p>
            <w:pPr>
              <w:pStyle w:val="TableParagraph"/>
              <w:rPr>
                <w:rFonts w:ascii="Times New Roman"/>
                <w:sz w:val="10"/>
              </w:rPr>
            </w:pPr>
          </w:p>
        </w:tc>
      </w:tr>
      <w:tr>
        <w:trPr>
          <w:trHeight w:val="325" w:hRule="atLeast"/>
        </w:trPr>
        <w:tc>
          <w:tcPr>
            <w:tcW w:w="1443" w:type="dxa"/>
            <w:vMerge/>
            <w:tcBorders>
              <w:top w:val="nil"/>
              <w:bottom w:val="single" w:sz="8" w:space="0" w:color="000000"/>
            </w:tcBorders>
          </w:tcPr>
          <w:p>
            <w:pPr>
              <w:rPr>
                <w:sz w:val="2"/>
                <w:szCs w:val="2"/>
              </w:rPr>
            </w:pPr>
          </w:p>
        </w:tc>
        <w:tc>
          <w:tcPr>
            <w:tcW w:w="2048" w:type="dxa"/>
          </w:tcPr>
          <w:p>
            <w:pPr>
              <w:pStyle w:val="TableParagraph"/>
              <w:ind w:left="21"/>
              <w:rPr>
                <w:sz w:val="13"/>
              </w:rPr>
            </w:pPr>
            <w:r>
              <w:rPr>
                <w:sz w:val="13"/>
              </w:rPr>
              <w:t>Assets (Estates, Transport and</w:t>
            </w:r>
          </w:p>
          <w:p>
            <w:pPr>
              <w:pStyle w:val="TableParagraph"/>
              <w:spacing w:line="132" w:lineRule="exact" w:before="14"/>
              <w:ind w:left="21"/>
              <w:rPr>
                <w:sz w:val="13"/>
              </w:rPr>
            </w:pPr>
            <w:r>
              <w:rPr>
                <w:sz w:val="13"/>
              </w:rPr>
              <w:t>Logistics)</w:t>
            </w:r>
          </w:p>
        </w:tc>
        <w:tc>
          <w:tcPr>
            <w:tcW w:w="2152" w:type="dxa"/>
          </w:tcPr>
          <w:p>
            <w:pPr>
              <w:pStyle w:val="TableParagraph"/>
              <w:spacing w:before="87"/>
              <w:ind w:left="21"/>
              <w:rPr>
                <w:sz w:val="13"/>
              </w:rPr>
            </w:pPr>
            <w:r>
              <w:rPr>
                <w:sz w:val="13"/>
              </w:rPr>
              <w:t>N/A</w:t>
            </w:r>
          </w:p>
        </w:tc>
        <w:tc>
          <w:tcPr>
            <w:tcW w:w="640" w:type="dxa"/>
            <w:shd w:val="clear" w:color="auto" w:fill="6FAC46"/>
          </w:tcPr>
          <w:p>
            <w:pPr>
              <w:pStyle w:val="TableParagraph"/>
              <w:rPr>
                <w:rFonts w:ascii="Times New Roman"/>
                <w:sz w:val="12"/>
              </w:rPr>
            </w:pPr>
          </w:p>
        </w:tc>
        <w:tc>
          <w:tcPr>
            <w:tcW w:w="640" w:type="dxa"/>
            <w:shd w:val="clear" w:color="auto" w:fill="FFFF00"/>
          </w:tcPr>
          <w:p>
            <w:pPr>
              <w:pStyle w:val="TableParagraph"/>
              <w:rPr>
                <w:rFonts w:ascii="Times New Roman"/>
                <w:sz w:val="12"/>
              </w:rPr>
            </w:pPr>
          </w:p>
        </w:tc>
        <w:tc>
          <w:tcPr>
            <w:tcW w:w="640" w:type="dxa"/>
          </w:tcPr>
          <w:p>
            <w:pPr>
              <w:pStyle w:val="TableParagraph"/>
              <w:spacing w:before="87"/>
              <w:ind w:left="20"/>
              <w:rPr>
                <w:sz w:val="13"/>
              </w:rPr>
            </w:pPr>
            <w:r>
              <w:rPr>
                <w:sz w:val="13"/>
              </w:rPr>
              <w:t>N/A</w:t>
            </w:r>
          </w:p>
        </w:tc>
        <w:tc>
          <w:tcPr>
            <w:tcW w:w="640" w:type="dxa"/>
            <w:shd w:val="clear" w:color="auto" w:fill="6FAC46"/>
          </w:tcPr>
          <w:p>
            <w:pPr>
              <w:pStyle w:val="TableParagraph"/>
              <w:rPr>
                <w:rFonts w:ascii="Times New Roman"/>
                <w:sz w:val="12"/>
              </w:rPr>
            </w:pPr>
          </w:p>
        </w:tc>
        <w:tc>
          <w:tcPr>
            <w:tcW w:w="675" w:type="dxa"/>
            <w:shd w:val="clear" w:color="auto" w:fill="6FAC46"/>
          </w:tcPr>
          <w:p>
            <w:pPr>
              <w:pStyle w:val="TableParagraph"/>
              <w:rPr>
                <w:rFonts w:ascii="Times New Roman"/>
                <w:sz w:val="12"/>
              </w:rPr>
            </w:pPr>
          </w:p>
        </w:tc>
        <w:tc>
          <w:tcPr>
            <w:tcW w:w="705" w:type="dxa"/>
            <w:tcBorders>
              <w:right w:val="single" w:sz="8" w:space="0" w:color="000000"/>
            </w:tcBorders>
            <w:shd w:val="clear" w:color="auto" w:fill="6FAC46"/>
          </w:tcPr>
          <w:p>
            <w:pPr>
              <w:pStyle w:val="TableParagraph"/>
              <w:rPr>
                <w:rFonts w:ascii="Times New Roman"/>
                <w:sz w:val="12"/>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2" w:lineRule="exact"/>
              <w:ind w:left="21"/>
              <w:rPr>
                <w:sz w:val="13"/>
              </w:rPr>
            </w:pPr>
            <w:r>
              <w:rPr>
                <w:sz w:val="13"/>
              </w:rPr>
              <w:t>People Services</w:t>
            </w:r>
          </w:p>
        </w:tc>
        <w:tc>
          <w:tcPr>
            <w:tcW w:w="2152" w:type="dxa"/>
          </w:tcPr>
          <w:p>
            <w:pPr>
              <w:pStyle w:val="TableParagraph"/>
              <w:spacing w:line="132" w:lineRule="exact"/>
              <w:ind w:left="21"/>
              <w:rPr>
                <w:sz w:val="13"/>
              </w:rPr>
            </w:pPr>
            <w:r>
              <w:rPr>
                <w:sz w:val="13"/>
              </w:rPr>
              <w:t>N/A</w:t>
            </w:r>
          </w:p>
        </w:tc>
        <w:tc>
          <w:tcPr>
            <w:tcW w:w="640" w:type="dxa"/>
            <w:shd w:val="clear" w:color="auto" w:fill="FFC000"/>
          </w:tcPr>
          <w:p>
            <w:pPr>
              <w:pStyle w:val="TableParagraph"/>
              <w:rPr>
                <w:rFonts w:ascii="Times New Roman"/>
                <w:sz w:val="8"/>
              </w:rPr>
            </w:pPr>
          </w:p>
        </w:tc>
        <w:tc>
          <w:tcPr>
            <w:tcW w:w="640" w:type="dxa"/>
            <w:shd w:val="clear" w:color="auto" w:fill="FFFF00"/>
          </w:tcPr>
          <w:p>
            <w:pPr>
              <w:pStyle w:val="TableParagraph"/>
              <w:rPr>
                <w:rFonts w:ascii="Times New Roman"/>
                <w:sz w:val="8"/>
              </w:rPr>
            </w:pPr>
          </w:p>
        </w:tc>
        <w:tc>
          <w:tcPr>
            <w:tcW w:w="640" w:type="dxa"/>
          </w:tcPr>
          <w:p>
            <w:pPr>
              <w:pStyle w:val="TableParagraph"/>
              <w:spacing w:line="132" w:lineRule="exact"/>
              <w:ind w:left="20"/>
              <w:rPr>
                <w:sz w:val="13"/>
              </w:rPr>
            </w:pPr>
            <w:r>
              <w:rPr>
                <w:sz w:val="13"/>
              </w:rPr>
              <w:t>N/A</w:t>
            </w:r>
          </w:p>
        </w:tc>
        <w:tc>
          <w:tcPr>
            <w:tcW w:w="640" w:type="dxa"/>
            <w:shd w:val="clear" w:color="auto" w:fill="FFC000"/>
          </w:tcPr>
          <w:p>
            <w:pPr>
              <w:pStyle w:val="TableParagraph"/>
              <w:rPr>
                <w:rFonts w:ascii="Times New Roman"/>
                <w:sz w:val="8"/>
              </w:rPr>
            </w:pPr>
          </w:p>
        </w:tc>
        <w:tc>
          <w:tcPr>
            <w:tcW w:w="675" w:type="dxa"/>
            <w:shd w:val="clear" w:color="auto" w:fill="FFFF00"/>
          </w:tcPr>
          <w:p>
            <w:pPr>
              <w:pStyle w:val="TableParagraph"/>
              <w:rPr>
                <w:rFonts w:ascii="Times New Roman"/>
                <w:sz w:val="8"/>
              </w:rPr>
            </w:pPr>
          </w:p>
        </w:tc>
        <w:tc>
          <w:tcPr>
            <w:tcW w:w="705" w:type="dxa"/>
            <w:tcBorders>
              <w:right w:val="single" w:sz="8" w:space="0" w:color="000000"/>
            </w:tcBorders>
            <w:shd w:val="clear" w:color="auto" w:fill="FFFF00"/>
          </w:tcPr>
          <w:p>
            <w:pPr>
              <w:pStyle w:val="TableParagraph"/>
              <w:rPr>
                <w:rFonts w:ascii="Times New Roman"/>
                <w:sz w:val="8"/>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2" w:lineRule="exact"/>
              <w:ind w:left="21"/>
              <w:rPr>
                <w:sz w:val="13"/>
              </w:rPr>
            </w:pPr>
            <w:r>
              <w:rPr>
                <w:sz w:val="13"/>
              </w:rPr>
              <w:t>Learning and Development</w:t>
            </w:r>
          </w:p>
        </w:tc>
        <w:tc>
          <w:tcPr>
            <w:tcW w:w="2152" w:type="dxa"/>
          </w:tcPr>
          <w:p>
            <w:pPr>
              <w:pStyle w:val="TableParagraph"/>
              <w:rPr>
                <w:rFonts w:ascii="Times New Roman"/>
                <w:sz w:val="8"/>
              </w:rPr>
            </w:pPr>
          </w:p>
        </w:tc>
        <w:tc>
          <w:tcPr>
            <w:tcW w:w="640" w:type="dxa"/>
            <w:shd w:val="clear" w:color="auto" w:fill="6FAC46"/>
          </w:tcPr>
          <w:p>
            <w:pPr>
              <w:pStyle w:val="TableParagraph"/>
              <w:rPr>
                <w:rFonts w:ascii="Times New Roman"/>
                <w:sz w:val="8"/>
              </w:rPr>
            </w:pPr>
          </w:p>
        </w:tc>
        <w:tc>
          <w:tcPr>
            <w:tcW w:w="640" w:type="dxa"/>
            <w:shd w:val="clear" w:color="auto" w:fill="6FAC46"/>
          </w:tcPr>
          <w:p>
            <w:pPr>
              <w:pStyle w:val="TableParagraph"/>
              <w:rPr>
                <w:rFonts w:ascii="Times New Roman"/>
                <w:sz w:val="8"/>
              </w:rPr>
            </w:pPr>
          </w:p>
        </w:tc>
        <w:tc>
          <w:tcPr>
            <w:tcW w:w="640" w:type="dxa"/>
          </w:tcPr>
          <w:p>
            <w:pPr>
              <w:pStyle w:val="TableParagraph"/>
              <w:spacing w:line="132" w:lineRule="exact"/>
              <w:ind w:left="20"/>
              <w:rPr>
                <w:sz w:val="13"/>
              </w:rPr>
            </w:pPr>
            <w:r>
              <w:rPr>
                <w:sz w:val="13"/>
              </w:rPr>
              <w:t>N/A</w:t>
            </w:r>
          </w:p>
        </w:tc>
        <w:tc>
          <w:tcPr>
            <w:tcW w:w="640" w:type="dxa"/>
            <w:shd w:val="clear" w:color="auto" w:fill="6FAC46"/>
          </w:tcPr>
          <w:p>
            <w:pPr>
              <w:pStyle w:val="TableParagraph"/>
              <w:rPr>
                <w:rFonts w:ascii="Times New Roman"/>
                <w:sz w:val="8"/>
              </w:rPr>
            </w:pPr>
          </w:p>
        </w:tc>
        <w:tc>
          <w:tcPr>
            <w:tcW w:w="675" w:type="dxa"/>
            <w:shd w:val="clear" w:color="auto" w:fill="6FAC46"/>
          </w:tcPr>
          <w:p>
            <w:pPr>
              <w:pStyle w:val="TableParagraph"/>
              <w:rPr>
                <w:rFonts w:ascii="Times New Roman"/>
                <w:sz w:val="8"/>
              </w:rPr>
            </w:pPr>
          </w:p>
        </w:tc>
        <w:tc>
          <w:tcPr>
            <w:tcW w:w="705" w:type="dxa"/>
            <w:tcBorders>
              <w:right w:val="single" w:sz="8" w:space="0" w:color="000000"/>
            </w:tcBorders>
            <w:shd w:val="clear" w:color="auto" w:fill="6FAC46"/>
          </w:tcPr>
          <w:p>
            <w:pPr>
              <w:pStyle w:val="TableParagraph"/>
              <w:rPr>
                <w:rFonts w:ascii="Times New Roman"/>
                <w:sz w:val="8"/>
              </w:rPr>
            </w:pPr>
          </w:p>
        </w:tc>
      </w:tr>
      <w:tr>
        <w:trPr>
          <w:trHeight w:val="152" w:hRule="atLeast"/>
        </w:trPr>
        <w:tc>
          <w:tcPr>
            <w:tcW w:w="1443" w:type="dxa"/>
            <w:vMerge/>
            <w:tcBorders>
              <w:top w:val="nil"/>
              <w:bottom w:val="single" w:sz="8" w:space="0" w:color="000000"/>
            </w:tcBorders>
          </w:tcPr>
          <w:p>
            <w:pPr>
              <w:rPr>
                <w:sz w:val="2"/>
                <w:szCs w:val="2"/>
              </w:rPr>
            </w:pPr>
          </w:p>
        </w:tc>
        <w:tc>
          <w:tcPr>
            <w:tcW w:w="2048" w:type="dxa"/>
          </w:tcPr>
          <w:p>
            <w:pPr>
              <w:pStyle w:val="TableParagraph"/>
              <w:spacing w:line="132" w:lineRule="exact"/>
              <w:ind w:left="21"/>
              <w:rPr>
                <w:sz w:val="13"/>
              </w:rPr>
            </w:pPr>
            <w:r>
              <w:rPr>
                <w:sz w:val="13"/>
              </w:rPr>
              <w:t>Finance Dept</w:t>
            </w:r>
          </w:p>
        </w:tc>
        <w:tc>
          <w:tcPr>
            <w:tcW w:w="2152" w:type="dxa"/>
          </w:tcPr>
          <w:p>
            <w:pPr>
              <w:pStyle w:val="TableParagraph"/>
              <w:spacing w:line="132" w:lineRule="exact"/>
              <w:ind w:left="21"/>
              <w:rPr>
                <w:sz w:val="13"/>
              </w:rPr>
            </w:pPr>
            <w:r>
              <w:rPr>
                <w:sz w:val="13"/>
              </w:rPr>
              <w:t>N/A</w:t>
            </w:r>
          </w:p>
        </w:tc>
        <w:tc>
          <w:tcPr>
            <w:tcW w:w="640" w:type="dxa"/>
            <w:shd w:val="clear" w:color="auto" w:fill="FFFF00"/>
          </w:tcPr>
          <w:p>
            <w:pPr>
              <w:pStyle w:val="TableParagraph"/>
              <w:rPr>
                <w:rFonts w:ascii="Times New Roman"/>
                <w:sz w:val="8"/>
              </w:rPr>
            </w:pPr>
          </w:p>
        </w:tc>
        <w:tc>
          <w:tcPr>
            <w:tcW w:w="640" w:type="dxa"/>
            <w:shd w:val="clear" w:color="auto" w:fill="FFFF00"/>
          </w:tcPr>
          <w:p>
            <w:pPr>
              <w:pStyle w:val="TableParagraph"/>
              <w:rPr>
                <w:rFonts w:ascii="Times New Roman"/>
                <w:sz w:val="8"/>
              </w:rPr>
            </w:pPr>
          </w:p>
        </w:tc>
        <w:tc>
          <w:tcPr>
            <w:tcW w:w="640" w:type="dxa"/>
          </w:tcPr>
          <w:p>
            <w:pPr>
              <w:pStyle w:val="TableParagraph"/>
              <w:spacing w:line="132" w:lineRule="exact"/>
              <w:ind w:left="20"/>
              <w:rPr>
                <w:sz w:val="13"/>
              </w:rPr>
            </w:pPr>
            <w:r>
              <w:rPr>
                <w:sz w:val="13"/>
              </w:rPr>
              <w:t>N/A</w:t>
            </w:r>
          </w:p>
        </w:tc>
        <w:tc>
          <w:tcPr>
            <w:tcW w:w="640" w:type="dxa"/>
            <w:shd w:val="clear" w:color="auto" w:fill="6FAC46"/>
          </w:tcPr>
          <w:p>
            <w:pPr>
              <w:pStyle w:val="TableParagraph"/>
              <w:rPr>
                <w:rFonts w:ascii="Times New Roman"/>
                <w:sz w:val="8"/>
              </w:rPr>
            </w:pPr>
          </w:p>
        </w:tc>
        <w:tc>
          <w:tcPr>
            <w:tcW w:w="675" w:type="dxa"/>
            <w:shd w:val="clear" w:color="auto" w:fill="6FAC46"/>
          </w:tcPr>
          <w:p>
            <w:pPr>
              <w:pStyle w:val="TableParagraph"/>
              <w:rPr>
                <w:rFonts w:ascii="Times New Roman"/>
                <w:sz w:val="8"/>
              </w:rPr>
            </w:pPr>
          </w:p>
        </w:tc>
        <w:tc>
          <w:tcPr>
            <w:tcW w:w="705" w:type="dxa"/>
            <w:tcBorders>
              <w:right w:val="single" w:sz="8" w:space="0" w:color="000000"/>
            </w:tcBorders>
            <w:shd w:val="clear" w:color="auto" w:fill="6FAC46"/>
          </w:tcPr>
          <w:p>
            <w:pPr>
              <w:pStyle w:val="TableParagraph"/>
              <w:rPr>
                <w:rFonts w:ascii="Times New Roman"/>
                <w:sz w:val="8"/>
              </w:rPr>
            </w:pPr>
          </w:p>
        </w:tc>
      </w:tr>
      <w:tr>
        <w:trPr>
          <w:trHeight w:val="503" w:hRule="atLeast"/>
        </w:trPr>
        <w:tc>
          <w:tcPr>
            <w:tcW w:w="1443" w:type="dxa"/>
            <w:vMerge/>
            <w:tcBorders>
              <w:top w:val="nil"/>
              <w:bottom w:val="single" w:sz="8" w:space="0" w:color="000000"/>
            </w:tcBorders>
          </w:tcPr>
          <w:p>
            <w:pPr>
              <w:rPr>
                <w:sz w:val="2"/>
                <w:szCs w:val="2"/>
              </w:rPr>
            </w:pPr>
          </w:p>
        </w:tc>
        <w:tc>
          <w:tcPr>
            <w:tcW w:w="2048" w:type="dxa"/>
            <w:tcBorders>
              <w:bottom w:val="single" w:sz="8" w:space="0" w:color="000000"/>
            </w:tcBorders>
          </w:tcPr>
          <w:p>
            <w:pPr>
              <w:pStyle w:val="TableParagraph"/>
              <w:spacing w:line="261" w:lineRule="auto"/>
              <w:ind w:left="21"/>
              <w:rPr>
                <w:sz w:val="13"/>
              </w:rPr>
            </w:pPr>
            <w:r>
              <w:rPr>
                <w:sz w:val="13"/>
              </w:rPr>
              <w:t>Business Design and Assurance (PPMO, OBC, BI, IM, Comms, Exec</w:t>
            </w:r>
          </w:p>
          <w:p>
            <w:pPr>
              <w:pStyle w:val="TableParagraph"/>
              <w:spacing w:line="137" w:lineRule="exact"/>
              <w:ind w:left="21"/>
              <w:rPr>
                <w:sz w:val="13"/>
              </w:rPr>
            </w:pPr>
            <w:r>
              <w:rPr>
                <w:sz w:val="13"/>
              </w:rPr>
              <w:t>Support)</w:t>
            </w:r>
          </w:p>
        </w:tc>
        <w:tc>
          <w:tcPr>
            <w:tcW w:w="2152" w:type="dxa"/>
            <w:tcBorders>
              <w:bottom w:val="single" w:sz="8" w:space="0" w:color="000000"/>
            </w:tcBorders>
          </w:tcPr>
          <w:p>
            <w:pPr>
              <w:pStyle w:val="TableParagraph"/>
              <w:spacing w:before="2"/>
              <w:rPr>
                <w:sz w:val="14"/>
              </w:rPr>
            </w:pPr>
          </w:p>
          <w:p>
            <w:pPr>
              <w:pStyle w:val="TableParagraph"/>
              <w:ind w:left="21"/>
              <w:rPr>
                <w:sz w:val="13"/>
              </w:rPr>
            </w:pPr>
            <w:r>
              <w:rPr>
                <w:sz w:val="13"/>
              </w:rPr>
              <w:t>N/A</w:t>
            </w:r>
          </w:p>
        </w:tc>
        <w:tc>
          <w:tcPr>
            <w:tcW w:w="640" w:type="dxa"/>
            <w:tcBorders>
              <w:bottom w:val="single" w:sz="8" w:space="0" w:color="000000"/>
            </w:tcBorders>
            <w:shd w:val="clear" w:color="auto" w:fill="FF0000"/>
          </w:tcPr>
          <w:p>
            <w:pPr>
              <w:pStyle w:val="TableParagraph"/>
              <w:rPr>
                <w:rFonts w:ascii="Times New Roman"/>
                <w:sz w:val="12"/>
              </w:rPr>
            </w:pPr>
          </w:p>
        </w:tc>
        <w:tc>
          <w:tcPr>
            <w:tcW w:w="640" w:type="dxa"/>
            <w:tcBorders>
              <w:bottom w:val="single" w:sz="8" w:space="0" w:color="000000"/>
            </w:tcBorders>
            <w:shd w:val="clear" w:color="auto" w:fill="FF0000"/>
          </w:tcPr>
          <w:p>
            <w:pPr>
              <w:pStyle w:val="TableParagraph"/>
              <w:rPr>
                <w:rFonts w:ascii="Times New Roman"/>
                <w:sz w:val="12"/>
              </w:rPr>
            </w:pPr>
          </w:p>
        </w:tc>
        <w:tc>
          <w:tcPr>
            <w:tcW w:w="640" w:type="dxa"/>
            <w:tcBorders>
              <w:bottom w:val="single" w:sz="8" w:space="0" w:color="000000"/>
            </w:tcBorders>
          </w:tcPr>
          <w:p>
            <w:pPr>
              <w:pStyle w:val="TableParagraph"/>
              <w:spacing w:before="2"/>
              <w:rPr>
                <w:sz w:val="14"/>
              </w:rPr>
            </w:pPr>
          </w:p>
          <w:p>
            <w:pPr>
              <w:pStyle w:val="TableParagraph"/>
              <w:ind w:left="20"/>
              <w:rPr>
                <w:sz w:val="13"/>
              </w:rPr>
            </w:pPr>
            <w:r>
              <w:rPr>
                <w:sz w:val="13"/>
              </w:rPr>
              <w:t>N/A</w:t>
            </w:r>
          </w:p>
        </w:tc>
        <w:tc>
          <w:tcPr>
            <w:tcW w:w="640" w:type="dxa"/>
            <w:tcBorders>
              <w:bottom w:val="single" w:sz="8" w:space="0" w:color="000000"/>
            </w:tcBorders>
            <w:shd w:val="clear" w:color="auto" w:fill="FFC000"/>
          </w:tcPr>
          <w:p>
            <w:pPr>
              <w:pStyle w:val="TableParagraph"/>
              <w:rPr>
                <w:rFonts w:ascii="Times New Roman"/>
                <w:sz w:val="12"/>
              </w:rPr>
            </w:pPr>
          </w:p>
        </w:tc>
        <w:tc>
          <w:tcPr>
            <w:tcW w:w="675" w:type="dxa"/>
            <w:tcBorders>
              <w:bottom w:val="single" w:sz="8" w:space="0" w:color="000000"/>
            </w:tcBorders>
            <w:shd w:val="clear" w:color="auto" w:fill="FFC000"/>
          </w:tcPr>
          <w:p>
            <w:pPr>
              <w:pStyle w:val="TableParagraph"/>
              <w:rPr>
                <w:rFonts w:ascii="Times New Roman"/>
                <w:sz w:val="12"/>
              </w:rPr>
            </w:pPr>
          </w:p>
        </w:tc>
        <w:tc>
          <w:tcPr>
            <w:tcW w:w="705" w:type="dxa"/>
            <w:tcBorders>
              <w:bottom w:val="single" w:sz="8" w:space="0" w:color="000000"/>
              <w:right w:val="single" w:sz="8" w:space="0" w:color="000000"/>
            </w:tcBorders>
            <w:shd w:val="clear" w:color="auto" w:fill="FFC000"/>
          </w:tcPr>
          <w:p>
            <w:pPr>
              <w:pStyle w:val="TableParagraph"/>
              <w:rPr>
                <w:rFonts w:ascii="Times New Roman"/>
                <w:sz w:val="12"/>
              </w:rPr>
            </w:pPr>
          </w:p>
        </w:tc>
      </w:tr>
      <w:tr>
        <w:trPr>
          <w:trHeight w:val="161" w:hRule="atLeast"/>
        </w:trPr>
        <w:tc>
          <w:tcPr>
            <w:tcW w:w="1443" w:type="dxa"/>
            <w:tcBorders>
              <w:top w:val="single" w:sz="8" w:space="0" w:color="000000"/>
              <w:bottom w:val="single" w:sz="8" w:space="0" w:color="000000"/>
            </w:tcBorders>
          </w:tcPr>
          <w:p>
            <w:pPr>
              <w:pStyle w:val="TableParagraph"/>
              <w:spacing w:line="137" w:lineRule="exact" w:before="5"/>
              <w:ind w:left="20"/>
              <w:rPr>
                <w:b/>
                <w:sz w:val="13"/>
              </w:rPr>
            </w:pPr>
            <w:r>
              <w:rPr>
                <w:b/>
                <w:sz w:val="13"/>
              </w:rPr>
              <w:t>Chapter 12: Collaboration</w:t>
            </w:r>
          </w:p>
        </w:tc>
        <w:tc>
          <w:tcPr>
            <w:tcW w:w="2048" w:type="dxa"/>
            <w:tcBorders>
              <w:top w:val="single" w:sz="8" w:space="0" w:color="000000"/>
              <w:bottom w:val="single" w:sz="8" w:space="0" w:color="000000"/>
            </w:tcBorders>
          </w:tcPr>
          <w:p>
            <w:pPr>
              <w:pStyle w:val="TableParagraph"/>
              <w:spacing w:line="137" w:lineRule="exact" w:before="5"/>
              <w:ind w:left="21"/>
              <w:rPr>
                <w:sz w:val="13"/>
              </w:rPr>
            </w:pPr>
            <w:r>
              <w:rPr>
                <w:sz w:val="13"/>
              </w:rPr>
              <w:t>Collaboration</w:t>
            </w:r>
          </w:p>
        </w:tc>
        <w:tc>
          <w:tcPr>
            <w:tcW w:w="6092" w:type="dxa"/>
            <w:gridSpan w:val="7"/>
            <w:tcBorders>
              <w:top w:val="single" w:sz="8" w:space="0" w:color="000000"/>
              <w:bottom w:val="single" w:sz="8" w:space="0" w:color="000000"/>
              <w:right w:val="single" w:sz="8" w:space="0" w:color="000000"/>
            </w:tcBorders>
            <w:shd w:val="clear" w:color="auto" w:fill="FFC000"/>
          </w:tcPr>
          <w:p>
            <w:pPr>
              <w:pStyle w:val="TableParagraph"/>
              <w:spacing w:before="9"/>
              <w:rPr>
                <w:sz w:val="14"/>
              </w:rPr>
            </w:pPr>
          </w:p>
          <w:p>
            <w:pPr>
              <w:pStyle w:val="TableParagraph"/>
              <w:tabs>
                <w:tab w:pos="2147" w:val="left" w:leader="none"/>
                <w:tab w:pos="2787" w:val="left" w:leader="none"/>
                <w:tab w:pos="3426" w:val="left" w:leader="none"/>
                <w:tab w:pos="4066" w:val="left" w:leader="none"/>
                <w:tab w:pos="4706" w:val="left" w:leader="none"/>
                <w:tab w:pos="5380" w:val="left" w:leader="none"/>
                <w:tab w:pos="6088" w:val="left" w:leader="none"/>
              </w:tabs>
              <w:spacing w:line="20" w:lineRule="exact"/>
              <w:ind w:left="-5" w:right="-101"/>
              <w:rPr>
                <w:sz w:val="2"/>
              </w:rPr>
            </w:pP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r>
              <w:rPr>
                <w:sz w:val="2"/>
              </w:rPr>
              <w:tab/>
            </w:r>
            <w:r>
              <w:rPr>
                <w:sz w:val="2"/>
              </w:rPr>
              <w:pict>
                <v:group style="width:.45pt;height:.1pt;mso-position-horizontal-relative:char;mso-position-vertical-relative:line" coordorigin="0,0" coordsize="9,2">
                  <v:line style="position:absolute" from="0,0" to="0,0" stroked="true" strokeweight="0pt" strokecolor="#d3d3d3">
                    <v:stroke dashstyle="solid"/>
                  </v:line>
                  <v:rect style="position:absolute;left:0;top:0;width:9;height:2" filled="true" fillcolor="#d3d3d3" stroked="false">
                    <v:fill type="solid"/>
                  </v:rect>
                </v:group>
              </w:pict>
            </w:r>
            <w:r>
              <w:rPr>
                <w:sz w:val="2"/>
              </w:rPr>
            </w:r>
          </w:p>
        </w:tc>
      </w:tr>
    </w:tbl>
    <w:p>
      <w:pPr>
        <w:rPr>
          <w:sz w:val="2"/>
          <w:szCs w:val="2"/>
        </w:rPr>
      </w:pPr>
      <w:r>
        <w:rPr/>
        <w:pict>
          <v:group style="position:absolute;margin-left:64.901878pt;margin-top:795.718628pt;width:.45pt;height:.1pt;mso-position-horizontal-relative:page;mso-position-vertical-relative:page;z-index:251740160" coordorigin="1298,15914" coordsize="9,2">
            <v:line style="position:absolute" from="1298,15914" to="1298,15915" stroked="true" strokeweight="0pt" strokecolor="#d3d3d3">
              <v:stroke dashstyle="solid"/>
            </v:line>
            <v:rect style="position:absolute;left:1298;top:15914;width:9;height:2" filled="true" fillcolor="#d3d3d3" stroked="false">
              <v:fill type="solid"/>
            </v:rect>
            <w10:wrap type="none"/>
          </v:group>
        </w:pict>
      </w:r>
      <w:r>
        <w:rPr/>
        <w:pict>
          <v:group style="position:absolute;margin-left:137.069077pt;margin-top:795.718506pt;width:.45pt;height:.1pt;mso-position-horizontal-relative:page;mso-position-vertical-relative:page;z-index:251741184" coordorigin="2741,15914" coordsize="9,2">
            <v:line style="position:absolute" from="2741,15914" to="2741,15915" stroked="true" strokeweight="0pt" strokecolor="#d3d3d3">
              <v:stroke dashstyle="solid"/>
            </v:line>
            <v:rect style="position:absolute;left:2741;top:15914;width:9;height:2" filled="true" fillcolor="#d3d3d3" stroked="false">
              <v:fill type="solid"/>
            </v:rect>
            <w10:wrap type="none"/>
          </v:group>
        </w:pict>
      </w:r>
    </w:p>
    <w:p>
      <w:pPr>
        <w:spacing w:after="0"/>
        <w:rPr>
          <w:sz w:val="2"/>
          <w:szCs w:val="2"/>
        </w:rPr>
        <w:sectPr>
          <w:pgSz w:w="11910" w:h="16840"/>
          <w:pgMar w:header="0" w:footer="443" w:top="820" w:bottom="640" w:left="0" w:right="0"/>
        </w:sectPr>
      </w:pPr>
    </w:p>
    <w:p>
      <w:pPr>
        <w:pStyle w:val="BodyText"/>
        <w:spacing w:before="43"/>
        <w:ind w:left="1297" w:right="1168"/>
      </w:pPr>
      <w:r>
        <w:rPr/>
        <w:t>The risk assessment for each section has then been placed in as a visual representation of current and emerging future risks that have, or are likely to be, presented to the force. This builds on the gaps identified in last year’s FMS and reflects the approved investment outlined in part 1 of this summary. Investment and decisions on future uplift resource allocation will be informed by this approach with the focus being on mitigating the risk in the top right quadrant whilst further balancing this against the future direction of travel of the force that is also articulated in the Police and Crime Plan.</w:t>
      </w:r>
    </w:p>
    <w:p>
      <w:pPr>
        <w:pStyle w:val="BodyText"/>
        <w:rPr>
          <w:sz w:val="20"/>
        </w:rPr>
      </w:pPr>
    </w:p>
    <w:p>
      <w:pPr>
        <w:pStyle w:val="BodyText"/>
        <w:spacing w:before="5"/>
        <w:rPr>
          <w:sz w:val="16"/>
        </w:rPr>
      </w:pPr>
      <w:r>
        <w:rPr/>
        <w:drawing>
          <wp:anchor distT="0" distB="0" distL="0" distR="0" allowOverlap="1" layoutInCell="1" locked="0" behindDoc="0" simplePos="0" relativeHeight="82">
            <wp:simplePos x="0" y="0"/>
            <wp:positionH relativeFrom="page">
              <wp:posOffset>417868</wp:posOffset>
            </wp:positionH>
            <wp:positionV relativeFrom="paragraph">
              <wp:posOffset>152143</wp:posOffset>
            </wp:positionV>
            <wp:extent cx="6756564" cy="3762470"/>
            <wp:effectExtent l="0" t="0" r="0" b="0"/>
            <wp:wrapTopAndBottom/>
            <wp:docPr id="73" name="image29.jpeg"/>
            <wp:cNvGraphicFramePr>
              <a:graphicFrameLocks noChangeAspect="1"/>
            </wp:cNvGraphicFramePr>
            <a:graphic>
              <a:graphicData uri="http://schemas.openxmlformats.org/drawingml/2006/picture">
                <pic:pic>
                  <pic:nvPicPr>
                    <pic:cNvPr id="74" name="image29.jpeg"/>
                    <pic:cNvPicPr/>
                  </pic:nvPicPr>
                  <pic:blipFill>
                    <a:blip r:embed="rId36" cstate="print"/>
                    <a:stretch>
                      <a:fillRect/>
                    </a:stretch>
                  </pic:blipFill>
                  <pic:spPr>
                    <a:xfrm>
                      <a:off x="0" y="0"/>
                      <a:ext cx="6756564" cy="3762470"/>
                    </a:xfrm>
                    <a:prstGeom prst="rect">
                      <a:avLst/>
                    </a:prstGeom>
                  </pic:spPr>
                </pic:pic>
              </a:graphicData>
            </a:graphic>
          </wp:anchor>
        </w:drawing>
      </w:r>
    </w:p>
    <w:p>
      <w:pPr>
        <w:pStyle w:val="BodyText"/>
      </w:pPr>
    </w:p>
    <w:p>
      <w:pPr>
        <w:pStyle w:val="Heading3"/>
        <w:spacing w:before="179"/>
        <w:ind w:right="1159"/>
      </w:pPr>
      <w:r>
        <w:rPr/>
        <w:t>Part 3: A summary of how the force is addressing crime reduction aligned to the national outcome measures for the governments beating crime plan.</w:t>
      </w:r>
    </w:p>
    <w:p>
      <w:pPr>
        <w:pStyle w:val="BodyText"/>
        <w:rPr>
          <w:b/>
          <w:sz w:val="19"/>
        </w:rPr>
      </w:pPr>
      <w:r>
        <w:rPr/>
        <w:pict>
          <v:shape style="position:absolute;margin-left:65.899902pt;margin-top:15.051713pt;width:471pt;height:.1pt;mso-position-horizontal-relative:page;mso-position-vertical-relative:paragraph;z-index:-251573248;mso-wrap-distance-left:0;mso-wrap-distance-right:0" coordorigin="1318,301" coordsize="9420,0" path="m1318,301l10738,301e" filled="false" stroked="true" strokeweight="3pt" strokecolor="#1771b8">
            <v:path arrowok="t"/>
            <v:stroke dashstyle="solid"/>
            <w10:wrap type="topAndBottom"/>
          </v:shape>
        </w:pict>
      </w:r>
    </w:p>
    <w:p>
      <w:pPr>
        <w:pStyle w:val="BodyText"/>
        <w:spacing w:before="249"/>
        <w:ind w:left="1298" w:right="1155"/>
      </w:pPr>
      <w:r>
        <w:rPr/>
        <w:t>Crime reduction is a simple question that results in a complex answer. Crime demand is a consequence of what the police and broader society do in the present, in the future and did in the past. Until you understand this approach and the demand that this brings there is no clear or accurate way of understanding if crime is really reducing. The Home Secretary has developed some national crime and policing measures to support the strategic priority for ‘a relentless focus on cutting crime’. The six priority areas identified are as follows:</w:t>
      </w:r>
    </w:p>
    <w:p>
      <w:pPr>
        <w:pStyle w:val="ListParagraph"/>
        <w:numPr>
          <w:ilvl w:val="1"/>
          <w:numId w:val="57"/>
        </w:numPr>
        <w:tabs>
          <w:tab w:pos="2018" w:val="left" w:leader="none"/>
          <w:tab w:pos="2019" w:val="left" w:leader="none"/>
        </w:tabs>
        <w:spacing w:line="240" w:lineRule="auto" w:before="1" w:after="0"/>
        <w:ind w:left="2018" w:right="0" w:hanging="361"/>
        <w:jc w:val="left"/>
        <w:rPr>
          <w:sz w:val="22"/>
        </w:rPr>
      </w:pPr>
      <w:r>
        <w:rPr>
          <w:sz w:val="22"/>
        </w:rPr>
        <w:t>reduce murder and other</w:t>
      </w:r>
      <w:r>
        <w:rPr>
          <w:spacing w:val="-8"/>
          <w:sz w:val="22"/>
        </w:rPr>
        <w:t> </w:t>
      </w:r>
      <w:r>
        <w:rPr>
          <w:sz w:val="22"/>
        </w:rPr>
        <w:t>homicides,</w:t>
      </w:r>
    </w:p>
    <w:p>
      <w:pPr>
        <w:pStyle w:val="ListParagraph"/>
        <w:numPr>
          <w:ilvl w:val="1"/>
          <w:numId w:val="57"/>
        </w:numPr>
        <w:tabs>
          <w:tab w:pos="2018" w:val="left" w:leader="none"/>
          <w:tab w:pos="2019" w:val="left" w:leader="none"/>
        </w:tabs>
        <w:spacing w:line="240" w:lineRule="auto" w:before="0" w:after="0"/>
        <w:ind w:left="2018" w:right="0" w:hanging="361"/>
        <w:jc w:val="left"/>
        <w:rPr>
          <w:sz w:val="22"/>
        </w:rPr>
      </w:pPr>
      <w:r>
        <w:rPr>
          <w:sz w:val="22"/>
        </w:rPr>
        <w:t>reduce serious</w:t>
      </w:r>
      <w:r>
        <w:rPr>
          <w:spacing w:val="-2"/>
          <w:sz w:val="22"/>
        </w:rPr>
        <w:t> </w:t>
      </w:r>
      <w:r>
        <w:rPr>
          <w:sz w:val="22"/>
        </w:rPr>
        <w:t>violence,</w:t>
      </w:r>
    </w:p>
    <w:p>
      <w:pPr>
        <w:pStyle w:val="ListParagraph"/>
        <w:numPr>
          <w:ilvl w:val="1"/>
          <w:numId w:val="57"/>
        </w:numPr>
        <w:tabs>
          <w:tab w:pos="2018" w:val="left" w:leader="none"/>
          <w:tab w:pos="2019" w:val="left" w:leader="none"/>
        </w:tabs>
        <w:spacing w:line="268" w:lineRule="exact" w:before="0" w:after="0"/>
        <w:ind w:left="2018" w:right="0" w:hanging="361"/>
        <w:jc w:val="left"/>
        <w:rPr>
          <w:sz w:val="22"/>
        </w:rPr>
      </w:pPr>
      <w:r>
        <w:rPr>
          <w:sz w:val="22"/>
        </w:rPr>
        <w:t>disrupt drugs supply and county</w:t>
      </w:r>
      <w:r>
        <w:rPr>
          <w:spacing w:val="1"/>
          <w:sz w:val="22"/>
        </w:rPr>
        <w:t> </w:t>
      </w:r>
      <w:r>
        <w:rPr>
          <w:sz w:val="22"/>
        </w:rPr>
        <w:t>lines,</w:t>
      </w:r>
    </w:p>
    <w:p>
      <w:pPr>
        <w:pStyle w:val="ListParagraph"/>
        <w:numPr>
          <w:ilvl w:val="1"/>
          <w:numId w:val="57"/>
        </w:numPr>
        <w:tabs>
          <w:tab w:pos="2018" w:val="left" w:leader="none"/>
          <w:tab w:pos="2019" w:val="left" w:leader="none"/>
        </w:tabs>
        <w:spacing w:line="268" w:lineRule="exact" w:before="0" w:after="0"/>
        <w:ind w:left="2018" w:right="0" w:hanging="361"/>
        <w:jc w:val="left"/>
        <w:rPr>
          <w:sz w:val="22"/>
        </w:rPr>
      </w:pPr>
      <w:r>
        <w:rPr>
          <w:sz w:val="22"/>
        </w:rPr>
        <w:t>reduce neighbourhood</w:t>
      </w:r>
      <w:r>
        <w:rPr>
          <w:spacing w:val="-3"/>
          <w:sz w:val="22"/>
        </w:rPr>
        <w:t> </w:t>
      </w:r>
      <w:r>
        <w:rPr>
          <w:sz w:val="22"/>
        </w:rPr>
        <w:t>crime,</w:t>
      </w:r>
    </w:p>
    <w:p>
      <w:pPr>
        <w:pStyle w:val="ListParagraph"/>
        <w:numPr>
          <w:ilvl w:val="1"/>
          <w:numId w:val="57"/>
        </w:numPr>
        <w:tabs>
          <w:tab w:pos="2018" w:val="left" w:leader="none"/>
          <w:tab w:pos="2019" w:val="left" w:leader="none"/>
        </w:tabs>
        <w:spacing w:line="240" w:lineRule="auto" w:before="1" w:after="0"/>
        <w:ind w:left="2018" w:right="0" w:hanging="361"/>
        <w:jc w:val="left"/>
        <w:rPr>
          <w:sz w:val="22"/>
        </w:rPr>
      </w:pPr>
      <w:r>
        <w:rPr>
          <w:sz w:val="22"/>
        </w:rPr>
        <w:t>tackle cybercrime,</w:t>
      </w:r>
      <w:r>
        <w:rPr>
          <w:spacing w:val="-3"/>
          <w:sz w:val="22"/>
        </w:rPr>
        <w:t> </w:t>
      </w:r>
      <w:r>
        <w:rPr>
          <w:sz w:val="22"/>
        </w:rPr>
        <w:t>and</w:t>
      </w:r>
    </w:p>
    <w:p>
      <w:pPr>
        <w:pStyle w:val="ListParagraph"/>
        <w:numPr>
          <w:ilvl w:val="1"/>
          <w:numId w:val="57"/>
        </w:numPr>
        <w:tabs>
          <w:tab w:pos="2017" w:val="left" w:leader="none"/>
          <w:tab w:pos="2018" w:val="left" w:leader="none"/>
        </w:tabs>
        <w:spacing w:line="240" w:lineRule="auto" w:before="0" w:after="0"/>
        <w:ind w:left="2017" w:right="0" w:hanging="360"/>
        <w:jc w:val="left"/>
        <w:rPr>
          <w:sz w:val="22"/>
        </w:rPr>
      </w:pPr>
      <w:r>
        <w:rPr>
          <w:sz w:val="22"/>
        </w:rPr>
        <w:t>improve satisfaction among victims – with a focus on victims of domestic</w:t>
      </w:r>
      <w:r>
        <w:rPr>
          <w:spacing w:val="-18"/>
          <w:sz w:val="22"/>
        </w:rPr>
        <w:t> </w:t>
      </w:r>
      <w:r>
        <w:rPr>
          <w:sz w:val="22"/>
        </w:rPr>
        <w:t>abuse.</w:t>
      </w:r>
    </w:p>
    <w:p>
      <w:pPr>
        <w:pStyle w:val="BodyText"/>
      </w:pPr>
    </w:p>
    <w:p>
      <w:pPr>
        <w:pStyle w:val="BodyText"/>
        <w:ind w:left="1297" w:right="1291"/>
      </w:pPr>
      <w:r>
        <w:rPr/>
        <w:t>There is also a national Strategy for tackling Violence Against Women and Girls (VAWG), Harm to Hope Drugs Strategy and a Domestic Abuse Plan. North Yorkshire’s Police and Crime Plan also has a significant</w:t>
      </w:r>
    </w:p>
    <w:p>
      <w:pPr>
        <w:spacing w:after="0"/>
        <w:sectPr>
          <w:pgSz w:w="11910" w:h="16840"/>
          <w:pgMar w:header="0" w:footer="443" w:top="1320" w:bottom="640" w:left="0" w:right="0"/>
        </w:sectPr>
      </w:pPr>
    </w:p>
    <w:p>
      <w:pPr>
        <w:pStyle w:val="BodyText"/>
        <w:spacing w:before="45"/>
        <w:ind w:left="1298" w:right="1258"/>
      </w:pPr>
      <w:r>
        <w:rPr/>
        <w:t>focus upon public trust and confidence including increasing crime recording, the prevention of harm and damage through intervening early, underpinned by a skilled workforce working in partnership.</w:t>
      </w:r>
    </w:p>
    <w:p>
      <w:pPr>
        <w:pStyle w:val="BodyText"/>
        <w:spacing w:before="1"/>
      </w:pPr>
    </w:p>
    <w:p>
      <w:pPr>
        <w:pStyle w:val="BodyText"/>
        <w:ind w:left="1298" w:right="1466"/>
      </w:pPr>
      <w:r>
        <w:rPr/>
        <w:t>The North Yorkshire policing area is a safe area with a low crime rate, so to reduce crime the force has taken a fourfold approach:</w:t>
      </w:r>
    </w:p>
    <w:p>
      <w:pPr>
        <w:pStyle w:val="BodyText"/>
      </w:pPr>
    </w:p>
    <w:p>
      <w:pPr>
        <w:pStyle w:val="ListParagraph"/>
        <w:numPr>
          <w:ilvl w:val="0"/>
          <w:numId w:val="65"/>
        </w:numPr>
        <w:tabs>
          <w:tab w:pos="1659" w:val="left" w:leader="none"/>
        </w:tabs>
        <w:spacing w:line="240" w:lineRule="auto" w:before="0" w:after="0"/>
        <w:ind w:left="1658" w:right="1122" w:hanging="361"/>
        <w:jc w:val="left"/>
        <w:rPr>
          <w:sz w:val="22"/>
        </w:rPr>
      </w:pPr>
      <w:r>
        <w:rPr>
          <w:b/>
          <w:sz w:val="22"/>
        </w:rPr>
        <w:t>Prevention and early intervention </w:t>
      </w:r>
      <w:r>
        <w:rPr>
          <w:sz w:val="22"/>
        </w:rPr>
        <w:t>(Chapter 4) activities aim to enable individuals to choose a path which minimises the likelihood of becoming engaged in offending behaviour and/or becoming victims of crime. It can be focussed on young people through engagement and education (cops v kids, Op Divan, Op choice, Community Alcohol Partnership) or circumstantial vulnerability linked to the night- time economy (Wave, Ask for Angela) or those with situational vulnerability (REACH), safer streets (designing out crime, graffiti or ASB prevention activities) as well as crime prevention advice both physical and virtual (digital PCSOs). This is underpinned through the Pathways project that provides support and referral opportunities in addition to services commissioned by the OPFCC in order to help reduce future victimisation. Our Prevention and Early Intervention programme also reflects the services through local community needs through more effective problem solving with partners, working that blends visibility and efficiency in delivering reassurance and driving prevention and early intervention activities. This aims to look at future crime</w:t>
      </w:r>
      <w:r>
        <w:rPr>
          <w:spacing w:val="-11"/>
          <w:sz w:val="22"/>
        </w:rPr>
        <w:t> </w:t>
      </w:r>
      <w:r>
        <w:rPr>
          <w:sz w:val="22"/>
        </w:rPr>
        <w:t>reductions.</w:t>
      </w:r>
    </w:p>
    <w:p>
      <w:pPr>
        <w:pStyle w:val="BodyText"/>
        <w:spacing w:before="2"/>
        <w:rPr>
          <w:sz w:val="25"/>
        </w:rPr>
      </w:pPr>
    </w:p>
    <w:p>
      <w:pPr>
        <w:pStyle w:val="ListParagraph"/>
        <w:numPr>
          <w:ilvl w:val="0"/>
          <w:numId w:val="65"/>
        </w:numPr>
        <w:tabs>
          <w:tab w:pos="1659" w:val="left" w:leader="none"/>
        </w:tabs>
        <w:spacing w:line="240" w:lineRule="auto" w:before="0" w:after="0"/>
        <w:ind w:left="1658" w:right="1115" w:hanging="361"/>
        <w:jc w:val="left"/>
        <w:rPr>
          <w:sz w:val="22"/>
        </w:rPr>
      </w:pPr>
      <w:r>
        <w:rPr>
          <w:b/>
          <w:sz w:val="22"/>
        </w:rPr>
        <w:t>Bringing offenders to justice</w:t>
      </w:r>
      <w:r>
        <w:rPr>
          <w:sz w:val="22"/>
        </w:rPr>
        <w:t>, is also a key part to driving down crime by dealing with crime that comes to notice now and reported from those that happened in the past. This is focussed on enforcement and preventing those from doing more harm either through removing them from access to society or diverting them away from criminal activities and behaviours. The force knows that it has a relatively inexperienced workforce including supervision and that it doesn’t have sufficient detective resource to meet the growing demand for serious crimes which are also increasing in</w:t>
      </w:r>
      <w:r>
        <w:rPr>
          <w:spacing w:val="-25"/>
          <w:sz w:val="22"/>
        </w:rPr>
        <w:t> </w:t>
      </w:r>
      <w:r>
        <w:rPr>
          <w:sz w:val="22"/>
        </w:rPr>
        <w:t>complexity.</w:t>
      </w:r>
    </w:p>
    <w:p>
      <w:pPr>
        <w:pStyle w:val="BodyText"/>
        <w:spacing w:before="3"/>
        <w:rPr>
          <w:sz w:val="25"/>
        </w:rPr>
      </w:pPr>
    </w:p>
    <w:p>
      <w:pPr>
        <w:pStyle w:val="BodyText"/>
        <w:ind w:left="1658" w:right="1228"/>
      </w:pPr>
      <w:r>
        <w:rPr/>
        <w:t>Plans are in place to mitigate the loss of experience in the short term whilst development of the next generation of investigators is ongoing, but it has to be acknowledged that the force isn’t where it would want to be and has had to put additional measures in place that will support reducing crime through enforcement in the following areas.</w:t>
      </w:r>
    </w:p>
    <w:p>
      <w:pPr>
        <w:pStyle w:val="ListParagraph"/>
        <w:numPr>
          <w:ilvl w:val="1"/>
          <w:numId w:val="65"/>
        </w:numPr>
        <w:tabs>
          <w:tab w:pos="2018" w:val="left" w:leader="none"/>
          <w:tab w:pos="2019" w:val="left" w:leader="none"/>
        </w:tabs>
        <w:spacing w:line="240" w:lineRule="auto" w:before="1" w:after="0"/>
        <w:ind w:left="2018" w:right="1552" w:hanging="360"/>
        <w:jc w:val="left"/>
        <w:rPr>
          <w:sz w:val="22"/>
        </w:rPr>
      </w:pPr>
      <w:r>
        <w:rPr>
          <w:sz w:val="22"/>
        </w:rPr>
        <w:t>Ensuring the allocation of crimes goes to those with the right skills to optimise the chances of driving a positive</w:t>
      </w:r>
      <w:r>
        <w:rPr>
          <w:spacing w:val="-1"/>
          <w:sz w:val="22"/>
        </w:rPr>
        <w:t> </w:t>
      </w:r>
      <w:r>
        <w:rPr>
          <w:sz w:val="22"/>
        </w:rPr>
        <w:t>outcome.</w:t>
      </w:r>
    </w:p>
    <w:p>
      <w:pPr>
        <w:pStyle w:val="ListParagraph"/>
        <w:numPr>
          <w:ilvl w:val="1"/>
          <w:numId w:val="65"/>
        </w:numPr>
        <w:tabs>
          <w:tab w:pos="2018" w:val="left" w:leader="none"/>
          <w:tab w:pos="2019" w:val="left" w:leader="none"/>
        </w:tabs>
        <w:spacing w:line="240" w:lineRule="auto" w:before="0" w:after="0"/>
        <w:ind w:left="2018" w:right="1962" w:hanging="360"/>
        <w:jc w:val="left"/>
        <w:rPr>
          <w:sz w:val="22"/>
        </w:rPr>
      </w:pPr>
      <w:r>
        <w:rPr>
          <w:sz w:val="22"/>
        </w:rPr>
        <w:t>Improving the knowledge, craft, and effectiveness of investigations through more robust performance management and supervisory</w:t>
      </w:r>
      <w:r>
        <w:rPr>
          <w:spacing w:val="-7"/>
          <w:sz w:val="22"/>
        </w:rPr>
        <w:t> </w:t>
      </w:r>
      <w:r>
        <w:rPr>
          <w:sz w:val="22"/>
        </w:rPr>
        <w:t>oversight.</w:t>
      </w:r>
    </w:p>
    <w:p>
      <w:pPr>
        <w:pStyle w:val="ListParagraph"/>
        <w:numPr>
          <w:ilvl w:val="1"/>
          <w:numId w:val="65"/>
        </w:numPr>
        <w:tabs>
          <w:tab w:pos="2018" w:val="left" w:leader="none"/>
          <w:tab w:pos="2019" w:val="left" w:leader="none"/>
        </w:tabs>
        <w:spacing w:line="240" w:lineRule="auto" w:before="0" w:after="0"/>
        <w:ind w:left="2018" w:right="1468" w:hanging="360"/>
        <w:jc w:val="left"/>
        <w:rPr>
          <w:sz w:val="22"/>
        </w:rPr>
      </w:pPr>
      <w:r>
        <w:rPr>
          <w:sz w:val="22"/>
        </w:rPr>
        <w:t>Focussing on timeliness of investigations to speed up the process and reduce the investigation timespan to maximise the opportunities to retain the engagement of the</w:t>
      </w:r>
      <w:r>
        <w:rPr>
          <w:spacing w:val="-17"/>
          <w:sz w:val="22"/>
        </w:rPr>
        <w:t> </w:t>
      </w:r>
      <w:r>
        <w:rPr>
          <w:sz w:val="22"/>
        </w:rPr>
        <w:t>victim.</w:t>
      </w:r>
    </w:p>
    <w:p>
      <w:pPr>
        <w:pStyle w:val="ListParagraph"/>
        <w:numPr>
          <w:ilvl w:val="1"/>
          <w:numId w:val="65"/>
        </w:numPr>
        <w:tabs>
          <w:tab w:pos="2018" w:val="left" w:leader="none"/>
          <w:tab w:pos="2019" w:val="left" w:leader="none"/>
        </w:tabs>
        <w:spacing w:line="240" w:lineRule="auto" w:before="0" w:after="0"/>
        <w:ind w:left="2018" w:right="0" w:hanging="361"/>
        <w:jc w:val="left"/>
        <w:rPr>
          <w:sz w:val="22"/>
        </w:rPr>
      </w:pPr>
      <w:r>
        <w:rPr>
          <w:sz w:val="22"/>
        </w:rPr>
        <w:t>Using available legislation more effectively to help reduce</w:t>
      </w:r>
      <w:r>
        <w:rPr>
          <w:spacing w:val="-6"/>
          <w:sz w:val="22"/>
        </w:rPr>
        <w:t> </w:t>
      </w:r>
      <w:r>
        <w:rPr>
          <w:sz w:val="22"/>
        </w:rPr>
        <w:t>crime.</w:t>
      </w:r>
    </w:p>
    <w:p>
      <w:pPr>
        <w:pStyle w:val="BodyText"/>
      </w:pPr>
    </w:p>
    <w:p>
      <w:pPr>
        <w:pStyle w:val="BodyText"/>
        <w:spacing w:before="3"/>
        <w:rPr>
          <w:sz w:val="16"/>
        </w:rPr>
      </w:pPr>
    </w:p>
    <w:p>
      <w:pPr>
        <w:pStyle w:val="ListParagraph"/>
        <w:numPr>
          <w:ilvl w:val="0"/>
          <w:numId w:val="65"/>
        </w:numPr>
        <w:tabs>
          <w:tab w:pos="1659" w:val="left" w:leader="none"/>
        </w:tabs>
        <w:spacing w:line="240" w:lineRule="auto" w:before="0" w:after="0"/>
        <w:ind w:left="1657" w:right="1135" w:hanging="360"/>
        <w:jc w:val="left"/>
        <w:rPr>
          <w:sz w:val="22"/>
        </w:rPr>
      </w:pPr>
      <w:r>
        <w:rPr>
          <w:b/>
          <w:sz w:val="22"/>
        </w:rPr>
        <w:t>Improving trust and confidence </w:t>
      </w:r>
      <w:r>
        <w:rPr>
          <w:sz w:val="22"/>
        </w:rPr>
        <w:t>to identify hidden crime especially vulnerability crime. It is understood throughout the vulnerability chapter of this FMS (and previous FMS) that the actual crime reported rate is much lower than the underlying crime rate, in particular around sexual offences and domestic abuse which can be for a variety of reasons. More of these crimes are being reported each year in part due to an improvement in the understanding of domestic abuse, changes in legislation, confidence of the public to call out abuse and trust of victims to report non-recent sexual crime. A proxy measure for this is most readily seen by the increases in non-recent reporting each year. Whilst this identifies crimes that occurred in the past it will also provide an indication of crime that is hidden. In 2022/23, 35.3% of all rapes that were reported were not committed within one year of the date they were reported, which suggests that in future years there are currently hidden crimes that will be reported. This is key, because to reduce crime the force first needs to understand the true level of crime. Through deliverables set out in the Police and Crime Plan the force will aim, through trust and confidence, to see increases in vulnerability crimes being reported when they have been committed (alongside the increases still expected from non-recent crime reporting). Therefore, an increase in reported crime is expected whilst work with communities through prevention and early</w:t>
      </w:r>
      <w:r>
        <w:rPr>
          <w:spacing w:val="-31"/>
          <w:sz w:val="22"/>
        </w:rPr>
        <w:t> </w:t>
      </w:r>
      <w:r>
        <w:rPr>
          <w:sz w:val="22"/>
        </w:rPr>
        <w:t>intervention</w:t>
      </w:r>
    </w:p>
    <w:p>
      <w:pPr>
        <w:spacing w:after="0" w:line="240" w:lineRule="auto"/>
        <w:jc w:val="left"/>
        <w:rPr>
          <w:sz w:val="22"/>
        </w:rPr>
        <w:sectPr>
          <w:pgSz w:w="11910" w:h="16840"/>
          <w:pgMar w:header="0" w:footer="443" w:top="780" w:bottom="720" w:left="0" w:right="0"/>
        </w:sectPr>
      </w:pPr>
    </w:p>
    <w:p>
      <w:pPr>
        <w:pStyle w:val="BodyText"/>
        <w:spacing w:before="45"/>
        <w:ind w:left="1658" w:right="1097"/>
      </w:pPr>
      <w:r>
        <w:rPr/>
        <w:t>aims to reduce future offending through safer streets, better protection of circumstantial vulnerability and the longer term generational behavioural changes around boundaries and respect.</w:t>
      </w:r>
    </w:p>
    <w:p>
      <w:pPr>
        <w:pStyle w:val="BodyText"/>
        <w:spacing w:before="1"/>
      </w:pPr>
    </w:p>
    <w:p>
      <w:pPr>
        <w:pStyle w:val="ListParagraph"/>
        <w:numPr>
          <w:ilvl w:val="0"/>
          <w:numId w:val="65"/>
        </w:numPr>
        <w:tabs>
          <w:tab w:pos="1659" w:val="left" w:leader="none"/>
        </w:tabs>
        <w:spacing w:line="240" w:lineRule="auto" w:before="0" w:after="0"/>
        <w:ind w:left="1658" w:right="1153" w:hanging="361"/>
        <w:jc w:val="left"/>
        <w:rPr>
          <w:sz w:val="22"/>
        </w:rPr>
      </w:pPr>
      <w:r>
        <w:rPr>
          <w:b/>
          <w:sz w:val="22"/>
        </w:rPr>
        <w:t>Use of data in performance. </w:t>
      </w:r>
      <w:r>
        <w:rPr>
          <w:sz w:val="22"/>
        </w:rPr>
        <w:t>The quantity of, and opportunity to exploit, data in policing has never been greater and grows on a daily basis. North Yorkshire Police understands that data is key to decision making and has invested in people, skills, and systems to enhance its analytical capability within Business Insight. However, the complexity and availability of data solutions can also outstrip the capacity and capability of end users to interrogate and understand the data they need. Therefore, the force has simplified its performance framework through a strategic to individual approach which runs alongside its development of data culture and data literacy. Only through developing a data literate workforce will the full benefit of available data be realised in terms of better and more informed police decision making in relation to crime that happened in the past, is happening in the present ,and will happen in the</w:t>
      </w:r>
      <w:r>
        <w:rPr>
          <w:spacing w:val="-6"/>
          <w:sz w:val="22"/>
        </w:rPr>
        <w:t> </w:t>
      </w:r>
      <w:r>
        <w:rPr>
          <w:sz w:val="22"/>
        </w:rPr>
        <w:t>future.</w:t>
      </w:r>
    </w:p>
    <w:p>
      <w:pPr>
        <w:spacing w:after="0" w:line="240" w:lineRule="auto"/>
        <w:jc w:val="left"/>
        <w:rPr>
          <w:sz w:val="22"/>
        </w:rPr>
        <w:sectPr>
          <w:pgSz w:w="11910" w:h="16840"/>
          <w:pgMar w:header="0" w:footer="443" w:top="780" w:bottom="720" w:left="0" w:right="0"/>
        </w:sectPr>
      </w:pPr>
    </w:p>
    <w:p>
      <w:pPr>
        <w:pStyle w:val="BodyText"/>
        <w:rPr>
          <w:sz w:val="20"/>
        </w:rPr>
      </w:pPr>
      <w:r>
        <w:rPr/>
        <w:pict>
          <v:group style="position:absolute;margin-left:.0pt;margin-top:617.218262pt;width:595.3pt;height:224.7pt;mso-position-horizontal-relative:page;mso-position-vertical-relative:page;z-index:251745280" coordorigin="0,12344" coordsize="11906,4494">
            <v:rect style="position:absolute;left:0;top:12344;width:11906;height:4494" filled="true" fillcolor="#0b134e" stroked="false">
              <v:fill type="solid"/>
            </v:rect>
            <v:shape style="position:absolute;left:660;top:12864;width:5113;height:1282" coordorigin="660,12865" coordsize="5113,1282" path="m1035,13402l1032,13400,1033,13401,1035,13402m1744,13611l1557,13610,1553,13610,1523,13608,1503,13597,1492,13569,1483,13513,1471,13421,1449,13283,1428,13355,1412,13443,1396,13528,1378,13590,1352,13610,1337,13596,1320,13571,1304,13542,1293,13521,1278,13538,1262,13565,1247,13592,1236,13614,1204,13672,1180,13699,1159,13693,1135,13650,1101,13566,1051,13438,1038,13408,1033,13401,1029,13397,1007,13447,952,13561,933,13607,803,13611,829,13639,880,13686,935,13737,975,13774,990,13788,1005,13800,1020,13812,1035,13826,1270,14039,1626,13723,1651,13699,1654,13697,1691,13663,1725,13632,1744,13611m1891,13250l1883,13184,1865,13123,1864,13119,1827,13044,1822,13039,1780,12986,1726,12942,1668,12912,1607,12895,1545,12891,1486,12897,1430,12913,1380,12939,1339,12973,1293,13022,1270,13039,1252,13027,1219,12988,1167,12944,1103,12913,1033,12895,962,12893,894,12906,825,12937,768,12980,724,13032,691,13092,670,13158,660,13228,661,13300,672,13371,693,13440,723,13505,732,13520,742,13535,751,13549,759,13564,903,13564,921,13519,945,13467,970,13413,992,13365,1017,13319,1037,13309,1056,13330,1078,13379,1176,13621,1213,13563,1243,13502,1271,13457,1302,13452,1311,13462,1324,13483,1336,13504,1343,13518,1352,13498,1360,13469,1363,13452,1366,13439,1371,13414,1393,13309,1427,13146,1433,13130,1440,13123,1451,13123,1469,13127,1478,13164,1492,13238,1507,13333,1522,13431,1534,13514,1541,13564,1788,13564,1836,13480,1857,13436,1875,13381,1888,13315,1891,13250m5772,14085l5766,14071,5703,13931,5683,13885,5632,13905,5587,13920,5546,13929,5511,13931,5488,13930,5458,13925,5419,13916,5387,13908,5326,13893,5312,13890,5303,13888,5291,13887,5278,13886,5264,13885,5250,13885,5216,13886,5186,13891,5158,13898,5133,13908,5169,13865,5198,13825,5221,13790,5237,13760,5248,13731,5256,13701,5261,13669,5262,13637,5262,13624,5262,13612,5260,13599,5484,13599,5484,13413,5221,13413,5213,13388,5205,13362,5198,13335,5192,13306,5186,13278,5182,13253,5180,13231,5179,13212,5182,13179,5191,13149,5205,13122,5224,13098,5248,13079,5274,13064,5304,13056,5336,13053,5366,13056,5394,13063,5419,13076,5441,13093,5461,13116,5477,13146,5490,13182,5499,13224,5728,13191,5712,13116,5687,13053,5686,13051,5651,12995,5607,12949,5553,12912,5491,12886,5420,12870,5341,12865,5288,12867,5237,12875,5187,12889,5140,12908,5097,12932,5059,12962,5026,12996,4998,13035,4976,13078,4960,13121,4951,13165,4948,13211,4950,13262,4956,13312,4967,13363,4982,13413,4849,13413,4849,13599,5026,13599,5027,13612,5028,13624,5029,13636,5029,13648,5026,13683,5018,13720,5005,13757,4987,13795,4963,13833,4932,13870,4894,13906,4849,13941,4939,14146,4992,14113,5045,14090,5098,14076,5149,14071,5184,14074,5227,14081,5278,14092,5397,14124,5451,14135,5498,14142,5539,14144,5569,14143,5599,14140,5630,14135,5662,14128,5692,14119,5721,14109,5748,14098,5772,14085e" filled="true" fillcolor="#ffffff" stroked="false">
              <v:path arrowok="t"/>
              <v:fill opacity="19660f" type="solid"/>
            </v:shape>
            <v:line style="position:absolute" from="7135,12841" to="7302,12841" stroked="true" strokeweight="3.186pt" strokecolor="#ffffff">
              <v:stroke dashstyle="solid"/>
            </v:line>
            <v:line style="position:absolute" from="7326,12841" to="7493,12841" stroked="true" strokeweight="3.186pt" strokecolor="#ffffff">
              <v:stroke dashstyle="solid"/>
            </v:line>
            <v:line style="position:absolute" from="7515,12841" to="7682,12841" stroked="true" strokeweight="3.186pt" strokecolor="#ffffff">
              <v:stroke dashstyle="solid"/>
            </v:line>
            <v:shape style="position:absolute;left:2520;top:12835;width:8624;height:3551" coordorigin="2520,12835" coordsize="8624,3551" path="m2963,15185l2946,15158,2933,15142,2926,15134,2902,15113,2872,15098,2857,15104,2855,15110,2829,15125,2819,15130,2806,15134,2784,15140,2760,15142,2736,15142,2712,15138,2669,15121,2646,15105,2625,15101,2589,15123,2567,15145,2546,15175,2530,15211,2523,15251,2521,15295,2520,15347,2521,15399,2523,15444,2582,15456,2675,15463,2776,15465,2856,15465,2860,15418,2860,15379,2864,15339,2880,15293,2903,15250,2924,15224,2943,15206,2963,15185m3441,15471l3439,15396,3432,15344,3414,15297,3386,15256,3386,15255,3351,15223,3310,15201,3298,15208,3284,15218,3269,15229,3252,15238,3185,15255,3129,15249,3081,15228,3039,15201,3000,15226,2964,15256,2934,15295,2914,15348,2909,15400,2907,15474,2907,15550,2909,15607,2959,15619,3036,15628,3129,15632,3226,15633,3318,15629,3392,15620,3439,15606,3441,15548,3441,15471m3833,15376l3831,15294,3816,15226,3783,15170,3783,15169,3723,15123,3695,15139,3654,15160,3600,15170,3532,15155,3516,15146,3503,15137,3490,15130,3475,15124,3452,15142,3433,15158,3415,15174,3399,15195,3455,15267,3480,15322,3487,15371,3487,15424,3492,15491,3579,15491,3663,15490,3746,15484,3830,15473,3833,15376m5136,15809l5133,15772,5123,15743,5099,15725,5074,15722,5074,15722,5067,15721,5031,15722,5022,15721,4994,15720,4995,15648,4996,15573,4991,15501,4978,15434,4952,15376,4943,15365,4905,15319,4869,15291,4869,15591,4869,15667,4867,15721,4785,15721,4785,15955,4780,16000,4749,16033,4776,16220,4635,16220,4662,16034,4640,16011,4627,15983,4627,15952,4642,15918,4646,15915,4648,15911,4648,15908,4647,15908,4648,15907,4648,15908,4651,15908,4651,15907,4651,15905,4650,15905,4651,15904,4651,15905,4654,15906,4655,15904,4656,15903,4657,15902,4662,15898,4666,15896,4727,15889,4767,15913,4785,15955,4785,15721,4546,15721,4544,15667,4544,15628,4544,15591,4547,15519,4555,15470,4593,15411,4647,15376,4708,15365,4770,15378,4822,15414,4858,15473,4866,15520,4869,15591,4869,15291,4848,15276,4781,15248,4706,15238,4623,15250,4554,15282,4499,15327,4460,15378,4430,15453,4418,15538,4417,15628,4419,15720,4381,15722,4344,15721,4312,15726,4289,15745,4279,15774,4276,15812,4276,15852,4277,15885,4277,15918,4277,16000,4276,16034,4276,16125,4277,16228,4278,16308,4282,16347,4300,16373,4326,16384,4359,16386,4399,16385,5016,16385,5056,16385,5066,16385,5089,16383,5114,16372,5132,16345,5134,16306,5136,16228,5136,16220,5136,16122,5136,16034,5135,15889,5135,15885,5136,15850,5136,15809m10296,13173l10251,13173,10212,13177,10174,13187,10133,13211,10100,13239,10071,13277,10051,13321,10043,13369,10043,13423,10127,13423,10127,13403,10128,13379,10132,13357,10138,13335,10149,13315,10178,13283,10213,13265,10253,13259,10296,13257,10296,13173m10462,13855l10446,13775,10412,13701,10398,13679,10388,13663,10362,13631,10332,13601,10318,13591,10296,13575,10293,13531,10284,13495,10263,13465,10228,13437,10204,13427,10179,13423,10127,13423,10127,13541,10125,13561,10117,13577,10104,13587,10085,13591,10067,13589,10054,13579,10046,13565,10043,13547,10043,13423,10004,13423,9968,13427,9935,13441,9903,13469,9887,13493,9879,13517,9875,13545,9874,13575,9845,13591,9813,13625,9782,13661,9760,13693,9738,13735,9722,13781,9711,13829,9706,13877,9706,13913,9709,13949,9716,13985,9727,14019,9741,14053,9749,14067,9757,14083,9765,14097,9774,14111,9784,14123,9794,14135,9804,14147,9815,14159,9823,14167,9829,14175,9837,14181,9869,14207,9906,14229,9945,14247,9983,14261,10013,14269,10037,14273,10091,14273,10117,14267,10142,14249,10160,14225,10166,14199,10166,14181,10163,14163,10157,14149,10145,14133,10119,14113,10094,14105,10067,14103,10036,14099,9972,14071,9922,14027,9889,13969,9875,13903,9881,13835,9910,13771,9919,13759,9928,13749,9937,13739,9948,13729,9959,13721,9969,13713,9979,13707,9993,13699,10062,13679,10131,13685,10193,13711,10245,13755,10280,13813,10293,13883,10291,13917,10286,13947,10277,13973,10263,14003,10250,14021,10235,14039,10218,14055,10200,14069,10212,14085,10222,14099,10232,14115,10242,14139,10247,14163,10250,14189,10248,14215,10242,14237,10262,14231,10288,14215,10313,14197,10329,14183,10337,14175,10338,14175,10356,14161,10356,14157,10364,14149,10411,14085,10444,14013,10461,13935,10462,13855m11144,13209l11137,13183,11119,13159,11095,13141,11068,13133,11050,13135,11034,13137,11018,13143,11003,13155,10980,13187,10974,13219,10969,13261,10948,13317,10918,13361,10874,13395,10820,13417,10756,13425,10679,13409,10614,13365,10568,13301,10551,13223,10554,13185,10563,13147,10578,13113,10601,13083,10617,13067,10632,13051,10651,13039,10672,13027,10722,13011,10774,13007,10825,13015,10873,13037,10883,13045,10892,13051,10900,13057,10909,13065,10917,13073,10925,13083,10932,13091,10939,13099,10947,13095,10954,13089,10962,13081,10971,13075,11003,13061,11040,13051,11076,13051,11107,13057,11106,13051,11104,13047,11098,13033,11091,13023,11085,13013,11081,13007,11071,12993,11056,12973,11040,12955,11022,12937,10975,12899,10914,12867,10846,12845,10776,12835,10741,12837,10712,12839,10683,12843,10650,12853,10639,12857,10619,12865,10608,12871,10591,12879,10570,12891,10549,12903,10534,12913,10509,12935,10488,12953,10468,12975,10447,13005,10405,13007,10369,13017,10338,13037,10310,13073,10300,13095,10296,13121,10296,13135,10296,13159,10296,13173,10419,13173,10453,13187,10464,13215,10453,13245,10419,13257,10296,13257,10296,13297,10299,13333,10312,13367,10341,13397,10350,13405,10349,13405,10370,13415,10375,13417,10385,13421,10400,13425,10447,13425,10460,13447,10483,13473,10509,13499,10532,13519,10541,13525,10550,13531,10559,13537,10569,13543,10634,13573,10702,13591,10773,13597,10842,13589,10909,13567,10971,13535,10990,13521,10994,13519,11005,13511,11006,13509,11011,13503,11026,13489,11038,13479,11051,13465,11068,13443,11102,13389,11126,13333,11140,13275,11144,13209e" filled="true" fillcolor="#ffffff" stroked="false">
              <v:path arrowok="t"/>
              <v:fill opacity="19660f" type="solid"/>
            </v:shape>
            <v:shape style="position:absolute;left:3032;top:14920;width:282;height:281" type="#_x0000_t75" stroked="false">
              <v:imagedata r:id="rId5" o:title=""/>
            </v:shape>
            <v:shape style="position:absolute;left:2630;top:14850;width:241;height:239" type="#_x0000_t75" stroked="false">
              <v:imagedata r:id="rId6" o:title=""/>
            </v:shape>
            <v:shape style="position:absolute;left:3480;top:14875;width:242;height:242" type="#_x0000_t75" stroked="false">
              <v:imagedata r:id="rId7" o:title=""/>
            </v:shape>
            <v:shape style="position:absolute;left:2528;top:15614;width:1133;height:642" coordorigin="2528,15615" coordsize="1133,642" path="m2831,15629l2831,15626,2829,15629,2831,15629m2832,15629l2831,15629,2831,15629,2832,15629m2832,15622l2832,15622,2832,15622,2832,15622m2834,15620l2834,15620,2834,15620,2834,15620m2834,15622l2832,15622,2833,15624,2834,15622m2836,15621l2834,15620,2834,15622,2836,15621m2841,15616l2838,15618,2838,15619,2836,15621,2841,15616m2844,15615l2841,15616,2844,15616,2844,15615m2845,15617l2844,15616,2844,15618,2845,15617m3660,16193l3658,16179,3654,16164,3650,16149,3646,16135,3634,16096,3620,16056,3605,16017,3589,15979,3559,15919,3529,15871,3524,15864,3483,15815,3433,15772,3427,15768,3422,15765,3415,15761,3358,15743,3274,15732,3188,15725,3126,15722,3078,15721,3017,15722,2956,15725,2910,15734,2902,15737,2893,15741,2888,15746,2875,15761,2871,15779,2874,15797,2883,15814,2899,15829,2919,15836,2944,15839,3073,15842,3099,15843,3112,15843,3125,15844,3141,15849,3147,15857,3144,15865,3134,15870,3112,15871,3083,15870,3030,15867,2984,15866,2932,15862,2881,15855,2838,15841,2804,15826,2771,15810,2758,15804,2705,15779,2680,15766,2667,15761,2648,15751,2637,15745,2622,15738,2607,15732,2597,15728,2569,15727,2546,15737,2532,15755,2528,15776,2534,15793,2545,15807,2560,15818,2574,15827,2579,15830,2587,15836,2599,15842,2604,15846,2611,15849,2707,15905,2714,15908,2719,15912,2729,15916,2729,15917,2742,15925,2751,15929,2764,15936,2853,15983,2876,15993,2899,16002,2923,16010,2948,16017,2982,16026,3084,16049,3222,16079,3267,16090,3279,16093,3289,16096,3298,16101,3307,16110,3320,16130,3333,16154,3343,16180,3352,16203,3369,16256,3660,16193e" filled="true" fillcolor="#ffffff" stroked="false">
              <v:path arrowok="t"/>
              <v:fill opacity="19660f" type="solid"/>
            </v:shape>
            <v:shape style="position:absolute;left:5651;top:12894;width:3988;height:3805" type="#_x0000_t75" stroked="false">
              <v:imagedata r:id="rId8" o:title=""/>
            </v:shape>
            <v:shape style="position:absolute;left:9864;top:14966;width:1524;height:1373" coordorigin="9865,14967" coordsize="1524,1373" path="m11264,15852l11263,15775,11262,15768,11258,15684,11251,15596,11241,15510,11227,15425,11209,15345,11186,15270,11159,15202,11151,15189,11119,15135,11071,15080,11012,15035,10993,15025,10964,15008,10964,15525,10937,15565,10915,15584,10898,15594,10885,15607,10876,15632,10870,15682,10870,15684,10868,15768,10783,15770,10734,15775,10709,15783,10697,15795,10687,15812,10667,15834,10626,15863,10584,15832,10565,15808,10553,15790,10530,15779,10480,15771,10384,15768,10382,15682,10377,15632,10367,15606,10354,15594,10337,15584,10315,15564,10289,15525,10331,15478,10357,15455,10372,15439,10379,15416,10382,15370,10386,15285,10473,15283,10521,15278,10544,15268,10559,15252,10581,15226,10626,15189,10672,15226,10694,15252,10709,15269,10732,15278,10780,15283,10867,15285,10870,15370,10874,15416,10881,15440,10896,15455,10922,15479,10964,15525,10964,15008,10944,14997,10894,14975,10865,14967,10847,14970,10810,14994,10775,15009,10716,15020,10626,15025,10535,15020,10476,15009,10441,14994,10420,14980,10406,14970,10388,14967,10359,14975,10309,14997,10241,15035,10182,15080,10133,15135,10094,15202,10066,15271,10043,15346,10025,15426,10011,15510,10001,15595,9995,15682,9991,15768,9989,15852,9989,15932,10039,15941,10101,15949,10174,15956,10254,15961,10341,15965,10434,15968,10529,15970,10626,15971,10724,15970,10819,15968,10912,15966,10999,15961,11079,15956,11151,15949,11213,15942,11264,15932,11264,15863,11264,15852m11388,16130l11374,16104,11346,16066,11316,16030,11309,16023,11297,16009,11279,15993,11263,15988,11244,15990,11211,15994,11134,16002,11057,16009,10980,16014,10903,16018,10825,16021,10748,16022,10670,16023,10592,16022,10515,16020,10437,16017,10282,16010,10051,15994,9975,15988,9914,16057,9881,16099,9865,16130,9920,16151,10000,16174,10242,16234,10309,16254,10487,16309,10569,16331,10626,16340,10653,16334,10713,16320,11114,16211,11300,16158,11360,16140,11388,16130e" filled="true" fillcolor="#ffffff" stroked="false">
              <v:path arrowok="t"/>
              <v:fill opacity="19660f" type="solid"/>
            </v:shape>
            <v:shape style="position:absolute;left:10441;top:15343;width:373;height:368" type="#_x0000_t75" stroked="false">
              <v:imagedata r:id="rId9" o:title=""/>
            </v:shape>
            <v:shape style="position:absolute;left:10433;top:14857;width:386;height:136" type="#_x0000_t75" stroked="false">
              <v:imagedata r:id="rId10" o:title=""/>
            </v:shape>
            <v:shape style="position:absolute;left:769;top:12916;width:3469;height:3282" coordorigin="769,12917" coordsize="3469,3282" path="m1559,15885l1539,15860,1510,15853,1486,15842,1477,15828,1471,15810,1468,15792,1470,15784,1472,15776,1481,15763,1491,15750,1496,15735,1492,15717,1484,15707,1479,15702,1470,15693,1456,15681,1444,15674,1430,15676,1415,15685,1400,15695,1387,15702,1382,15702,1382,15924,1364,15970,1332,16004,1294,16021,1240,16022,1194,16005,1161,15974,1144,15935,1143,15880,1160,15836,1191,15805,1232,15786,1282,15784,1327,15801,1360,15832,1380,15870,1382,15924,1382,15702,1372,15701,1368,15699,1354,15695,1337,15686,1326,15678,1320,15666,1317,15652,1314,15637,1311,15626,1290,15611,1261,15609,1235,15614,1224,15617,1213,15642,1210,15661,1201,15678,1173,15694,1143,15699,1124,15692,1108,15679,1085,15670,1072,15679,1058,15691,1045,15703,1035,15713,1033,15739,1048,15766,1058,15798,1038,15838,1025,15846,1008,15852,989,15855,972,15859,969,15875,967,15896,966,15918,969,15936,979,15948,994,15953,1012,15956,1030,15961,1040,15971,1049,15986,1055,16004,1056,16021,1045,16048,1031,16067,1032,16089,1066,16126,1092,16135,1114,16121,1141,16109,1186,16122,1199,16132,1206,16146,1210,16162,1211,16182,1211,16182,1224,16193,1224,16193,1211,16182,1216,16193,1213,16187,1215,16195,1222,16196,1223,16195,1230,16198,1227,16195,1230,16198,1271,16197,1293,16195,1303,16191,1309,16179,1311,16173,1312,16165,1313,16158,1326,16130,1348,16115,1372,16110,1391,16114,1405,16124,1419,16134,1434,16138,1450,16132,1471,16110,1472,16109,1490,16090,1486,16064,1469,16037,1471,16022,1473,15994,1489,15969,1506,15960,1526,15957,1554,15949,1559,15885m1725,15266l1723,15235,1713,15226,1697,15215,1664,15195,1646,15183,1637,15170,1633,15153,1632,15125,1631,15101,1631,15097,1633,15079,1640,15064,1655,15050,1694,15024,1716,15007,1719,14984,1703,14939,1700,14932,1688,14907,1680,14890,1676,14885,1662,14870,1635,14871,1586,14882,1561,14885,1545,14882,1532,14873,1518,14860,1506,14849,1492,14836,1480,14822,1474,14805,1478,14757,1480,14750,1486,14724,1477,14698,1449,14683,1449,15166,1423,15237,1372,15295,1301,15330,1216,15335,1144,15309,1085,15259,1050,15188,1045,15101,1071,15030,1123,14972,1195,14937,1282,14932,1352,14959,1409,15010,1444,15081,1449,15166,1449,14683,1427,14672,1379,14656,1353,14655,1334,14673,1310,14713,1298,14731,1287,14741,1272,14746,1245,14748,1217,14750,1196,14749,1180,14744,1164,14729,1154,14715,1142,14697,1132,14681,1124,14671,1092,14664,1049,14678,1008,14699,983,14718,982,14740,985,14761,991,14782,996,14803,997,14827,990,14843,980,14856,968,14868,956,14881,944,14894,928,14904,908,14907,887,14904,863,14899,839,14896,820,14897,799,14919,780,14960,769,15004,771,15032,782,15044,797,15054,813,15063,829,15073,848,15085,857,15097,860,15113,862,15141,858,15196,842,15219,816,15232,783,15259,778,15291,793,15336,815,15377,833,15397,851,15399,873,15395,913,15385,937,15384,955,15390,968,15401,981,15413,995,15425,1007,15437,1015,15452,1018,15474,1010,15522,1005,15552,1021,15573,1074,15597,1092,15604,1111,15611,1131,15613,1147,15606,1156,15595,1167,15579,1177,15561,1186,15546,1198,15530,1211,15522,1228,15519,1254,15518,1306,15521,1329,15536,1343,15562,1370,15596,1405,15602,1450,15586,1489,15565,1506,15554,1513,15525,1511,15518,1502,15490,1497,15449,1520,15404,1531,15392,1539,15384,1545,15378,1560,15367,1578,15361,1600,15363,1625,15368,1649,15372,1668,15373,1681,15361,1690,15353,1699,15335,1712,15311,1725,15266m1914,15684l1914,15669,1904,15664,1891,15658,1880,15652,1872,15645,1862,15617,1871,15596,1878,15587,1884,15579,1886,15561,1881,15552,1873,15543,1870,15539,1865,15534,1858,15527,1843,15530,1833,15534,1824,15538,1813,15539,1795,15533,1795,15661,1785,15710,1742,15745,1688,15749,1648,15720,1629,15674,1640,15625,1686,15589,1740,15587,1778,15616,1795,15661,1795,15533,1788,15531,1778,15516,1777,15514,1773,15496,1771,15483,1762,15472,1747,15466,1729,15465,1712,15465,1706,15483,1700,15497,1690,15508,1672,15515,1650,15516,1638,15509,1628,15499,1611,15491,1601,15497,1590,15505,1580,15514,1572,15521,1575,15540,1582,15553,1585,15566,1578,15585,1565,15600,1554,15606,1539,15608,1518,15611,1514,15624,1511,15637,1510,15651,1511,15665,1526,15673,1540,15680,1551,15689,1559,15704,1558,15735,1544,15750,1538,15768,1564,15809,1583,15804,1597,15798,1610,15795,1630,15801,1647,15818,1651,15835,1652,15850,1663,15863,1668,15865,1704,15870,1719,15855,1729,15834,1751,15820,1771,15819,1785,15825,1796,15835,1808,15844,1822,15838,1834,15830,1844,15821,1845,15819,1852,15811,1847,15795,1847,15794,1841,15780,1840,15766,1848,15749,1848,15748,1859,15736,1871,15730,1906,15724,1910,15712,1913,15698,1914,15684m3536,14040l3525,13970,3316,13968,3301,14041,3422,14041,3487,14041,3536,14040m4014,13916l4002,13896,3988,13877,3976,13858,3964,13838,3951,13820,3939,13803,3900,13802,3882,13801,3809,13800,3673,13802,2935,13801,2910,13801,2896,13806,2885,13821,2866,13852,2855,13867,2841,13890,2829,13912,2824,13927,2843,13937,2869,13940,2940,13938,3987,13938,4013,13932,4014,13916m4032,13024l4031,12982,4030,12971,4021,12939,4000,12923,3973,12919,3965,12918,3965,12982,3964,13620,2873,13620,2874,12983,3965,12982,3965,12918,3963,12918,3825,12919,3185,12917,2909,12919,2857,12921,2835,12924,2816,12942,2809,12966,2809,12994,2810,13026,2810,13082,2808,13256,2808,13355,2808,13539,2809,13606,2810,13645,2818,13672,2835,13685,2860,13688,3005,13688,3498,13689,3866,13688,3945,13686,3988,13685,4006,13683,4023,13666,4029,13642,4029,13620,4029,13613,4028,13583,4028,13211,4030,13102,4032,13024m4238,14080l4231,14063,4214,14022,4159,13940,4159,14063,2680,14063,2727,13989,2739,13972,2752,13954,2764,13935,2788,13898,2800,13880,2813,13863,2825,13844,2837,13826,2861,13788,2874,13769,3965,13768,4111,13988,4123,14005,4136,14025,4149,14045,4159,14063,4159,13940,4059,13792,4048,13775,4043,13768,4032,13751,4017,13729,4006,13716,3982,13705,3958,13702,3952,13701,3919,13701,3887,13702,3305,13700,2928,13702,2879,13703,2857,13704,2828,13726,2795,13767,2764,13812,2742,13847,2716,13886,2691,13924,2666,13963,2639,14001,2626,14019,2612,14041,2602,14066,2602,14091,2615,14112,2635,14124,2662,14128,2692,14129,3987,14129,4115,14133,4177,14129,4221,14113,4238,14080e" filled="true" fillcolor="#ffffff" stroked="false">
              <v:path arrowok="t"/>
              <v:fill opacity="19660f" type="solid"/>
            </v:shape>
            <v:shape style="position:absolute;left:9469;top:16115;width:1017;height:179" type="#_x0000_t202" filled="false" stroked="false">
              <v:textbox inset="0,0,0,0">
                <w:txbxContent>
                  <w:p>
                    <w:pPr>
                      <w:spacing w:line="179" w:lineRule="exact" w:before="0"/>
                      <w:ind w:left="0" w:right="0" w:firstLine="0"/>
                      <w:jc w:val="left"/>
                      <w:rPr>
                        <w:sz w:val="16"/>
                      </w:rPr>
                    </w:pPr>
                    <w:r>
                      <w:rPr>
                        <w:rFonts w:ascii="Arial"/>
                        <w:sz w:val="16"/>
                      </w:rPr>
                      <w:t>P</w:t>
                    </w:r>
                    <w:r>
                      <w:rPr>
                        <w:rFonts w:ascii="Arial"/>
                        <w:spacing w:val="-80"/>
                        <w:sz w:val="16"/>
                      </w:rPr>
                      <w:t>a</w:t>
                    </w:r>
                    <w:r>
                      <w:rPr>
                        <w:spacing w:val="-3"/>
                        <w:position w:val="1"/>
                        <w:sz w:val="16"/>
                      </w:rPr>
                      <w:t>P</w:t>
                    </w:r>
                    <w:r>
                      <w:rPr>
                        <w:rFonts w:ascii="Arial"/>
                        <w:spacing w:val="-86"/>
                        <w:sz w:val="16"/>
                      </w:rPr>
                      <w:t>g</w:t>
                    </w:r>
                    <w:r>
                      <w:rPr>
                        <w:position w:val="1"/>
                        <w:sz w:val="16"/>
                      </w:rPr>
                      <w:t>a</w:t>
                    </w:r>
                    <w:r>
                      <w:rPr>
                        <w:spacing w:val="-67"/>
                        <w:position w:val="1"/>
                        <w:sz w:val="16"/>
                      </w:rPr>
                      <w:t>g</w:t>
                    </w:r>
                    <w:r>
                      <w:rPr>
                        <w:rFonts w:ascii="Arial"/>
                        <w:spacing w:val="-23"/>
                        <w:sz w:val="16"/>
                      </w:rPr>
                      <w:t>e</w:t>
                    </w:r>
                    <w:r>
                      <w:rPr>
                        <w:spacing w:val="-13"/>
                        <w:position w:val="1"/>
                        <w:sz w:val="16"/>
                      </w:rPr>
                      <w:t>e</w:t>
                    </w:r>
                    <w:r>
                      <w:rPr>
                        <w:rFonts w:ascii="Arial"/>
                        <w:spacing w:val="-41"/>
                        <w:sz w:val="16"/>
                      </w:rPr>
                      <w:t>3</w:t>
                    </w:r>
                    <w:r>
                      <w:rPr>
                        <w:spacing w:val="-41"/>
                        <w:position w:val="1"/>
                        <w:sz w:val="16"/>
                      </w:rPr>
                      <w:t>3</w:t>
                    </w:r>
                    <w:r>
                      <w:rPr>
                        <w:rFonts w:ascii="Arial"/>
                        <w:spacing w:val="-49"/>
                        <w:sz w:val="16"/>
                      </w:rPr>
                      <w:t>6</w:t>
                    </w:r>
                    <w:r>
                      <w:rPr>
                        <w:position w:val="1"/>
                        <w:sz w:val="16"/>
                      </w:rPr>
                      <w:t>6</w:t>
                    </w:r>
                    <w:r>
                      <w:rPr>
                        <w:spacing w:val="-25"/>
                        <w:position w:val="1"/>
                        <w:sz w:val="16"/>
                      </w:rPr>
                      <w:t> </w:t>
                    </w:r>
                    <w:r>
                      <w:rPr>
                        <w:rFonts w:ascii="Arial"/>
                        <w:spacing w:val="-65"/>
                        <w:sz w:val="16"/>
                      </w:rPr>
                      <w:t>o</w:t>
                    </w:r>
                    <w:r>
                      <w:rPr>
                        <w:spacing w:val="-21"/>
                        <w:position w:val="1"/>
                        <w:sz w:val="16"/>
                      </w:rPr>
                      <w:t>o</w:t>
                    </w:r>
                    <w:r>
                      <w:rPr>
                        <w:rFonts w:ascii="Arial"/>
                        <w:spacing w:val="-25"/>
                        <w:sz w:val="16"/>
                      </w:rPr>
                      <w:t>f</w:t>
                    </w:r>
                    <w:r>
                      <w:rPr>
                        <w:position w:val="1"/>
                        <w:sz w:val="16"/>
                      </w:rPr>
                      <w:t>f</w:t>
                    </w:r>
                    <w:r>
                      <w:rPr>
                        <w:spacing w:val="-17"/>
                        <w:position w:val="1"/>
                        <w:sz w:val="16"/>
                      </w:rPr>
                      <w:t> </w:t>
                    </w:r>
                    <w:r>
                      <w:rPr>
                        <w:rFonts w:ascii="Arial"/>
                        <w:spacing w:val="-73"/>
                        <w:sz w:val="16"/>
                      </w:rPr>
                      <w:t>3</w:t>
                    </w:r>
                    <w:r>
                      <w:rPr>
                        <w:spacing w:val="-9"/>
                        <w:position w:val="1"/>
                        <w:sz w:val="16"/>
                      </w:rPr>
                      <w:t>3</w:t>
                    </w:r>
                    <w:r>
                      <w:rPr>
                        <w:rFonts w:ascii="Arial"/>
                        <w:spacing w:val="-81"/>
                        <w:sz w:val="16"/>
                      </w:rPr>
                      <w:t>6</w:t>
                    </w:r>
                    <w:r>
                      <w:rPr>
                        <w:position w:val="1"/>
                        <w:sz w:val="16"/>
                      </w:rPr>
                      <w:t>6</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74"/>
        <w:ind w:left="0" w:right="775" w:firstLine="0"/>
        <w:jc w:val="right"/>
        <w:rPr>
          <w:sz w:val="24"/>
        </w:rPr>
      </w:pPr>
      <w:r>
        <w:rPr>
          <w:sz w:val="24"/>
        </w:rPr>
        <w:t>June 2023</w:t>
      </w:r>
    </w:p>
    <w:sectPr>
      <w:footerReference w:type="default" r:id="rId37"/>
      <w:pgSz w:w="11910" w:h="16840"/>
      <w:pgMar w:footer="0" w:header="0" w:top="158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Myriad Pro">
    <w:altName w:val="Myriad Pro"/>
    <w:charset w:val="0"/>
    <w:family w:val="swiss"/>
    <w:pitch w:val="variable"/>
  </w:font>
  <w:font w:name="Arial">
    <w:altName w:val="Arial"/>
    <w:charset w:val="0"/>
    <w:family w:val="swiss"/>
    <w:pitch w:val="variable"/>
  </w:font>
  <w:font w:name="Swis721 BT">
    <w:altName w:val="Swis721 BT"/>
    <w:charset w:val="0"/>
    <w:family w:val="swiss"/>
    <w:pitch w:val="variable"/>
  </w:font>
  <w:font w:name="Lucida Handwriting">
    <w:altName w:val="Lucida Handwriting"/>
    <w:charset w:val="0"/>
    <w:family w:val="script"/>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99.516846pt;width:595.275574pt;height:42.3729pt;mso-position-horizontal-relative:page;mso-position-vertical-relative:page;z-index:-255284224" filled="true" fillcolor="#0b134e" stroked="false">
          <v:fill type="solid"/>
          <w10:wrap type="non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595.275574pt;height:841.889771pt;mso-position-horizontal-relative:page;mso-position-vertical-relative:page;z-index:-255283200" filled="true" fillcolor="#0074bc" stroked="false">
          <v:fill opacity="19660f" type="solid"/>
          <w10:wrap type="non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 style="position:absolute;margin-left:472.500763pt;margin-top:804.793701pt;width:51.85pt;height:10.95pt;mso-position-horizontal-relative:page;mso-position-vertical-relative:page;z-index:-255282176" type="#_x0000_t202" filled="false" stroked="false">
          <v:textbox inset="0,0,0,0">
            <w:txbxContent>
              <w:p>
                <w:pPr>
                  <w:spacing w:before="14"/>
                  <w:ind w:left="20" w:right="0" w:firstLine="0"/>
                  <w:jc w:val="left"/>
                  <w:rPr>
                    <w:rFonts w:ascii="Arial"/>
                    <w:sz w:val="16"/>
                  </w:rPr>
                </w:pPr>
                <w:r>
                  <w:rPr>
                    <w:rFonts w:ascii="Arial"/>
                    <w:sz w:val="16"/>
                  </w:rPr>
                  <w:t>Page </w:t>
                </w:r>
                <w:r>
                  <w:rPr/>
                  <w:fldChar w:fldCharType="begin"/>
                </w:r>
                <w:r>
                  <w:rPr>
                    <w:rFonts w:ascii="Arial"/>
                    <w:sz w:val="16"/>
                  </w:rPr>
                  <w:instrText> PAGE </w:instrText>
                </w:r>
                <w:r>
                  <w:rPr/>
                  <w:fldChar w:fldCharType="separate"/>
                </w:r>
                <w:r>
                  <w:rPr/>
                  <w:t>11</w:t>
                </w:r>
                <w:r>
                  <w:rPr/>
                  <w:fldChar w:fldCharType="end"/>
                </w:r>
                <w:r>
                  <w:rPr>
                    <w:rFonts w:ascii="Arial"/>
                    <w:sz w:val="16"/>
                  </w:rPr>
                  <w:t> of 36</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658" w:hanging="361"/>
        <w:jc w:val="left"/>
      </w:pPr>
      <w:rPr>
        <w:rFonts w:hint="default" w:ascii="Calibri" w:hAnsi="Calibri" w:eastAsia="Calibri" w:cs="Calibri"/>
        <w:w w:val="100"/>
        <w:sz w:val="22"/>
        <w:szCs w:val="22"/>
        <w:lang w:val="en-gb" w:eastAsia="en-gb" w:bidi="en-gb"/>
      </w:rPr>
    </w:lvl>
    <w:lvl w:ilvl="1">
      <w:start w:val="0"/>
      <w:numFmt w:val="bullet"/>
      <w:lvlText w:val=""/>
      <w:lvlJc w:val="left"/>
      <w:pPr>
        <w:ind w:left="2017" w:hanging="361"/>
      </w:pPr>
      <w:rPr>
        <w:rFonts w:hint="default" w:ascii="Symbol" w:hAnsi="Symbol" w:eastAsia="Symbol" w:cs="Symbol"/>
        <w:w w:val="100"/>
        <w:sz w:val="22"/>
        <w:szCs w:val="22"/>
        <w:lang w:val="en-gb" w:eastAsia="en-gb" w:bidi="en-gb"/>
      </w:rPr>
    </w:lvl>
    <w:lvl w:ilvl="2">
      <w:start w:val="0"/>
      <w:numFmt w:val="bullet"/>
      <w:lvlText w:val="•"/>
      <w:lvlJc w:val="left"/>
      <w:pPr>
        <w:ind w:left="3118" w:hanging="361"/>
      </w:pPr>
      <w:rPr>
        <w:rFonts w:hint="default"/>
        <w:lang w:val="en-gb" w:eastAsia="en-gb" w:bidi="en-gb"/>
      </w:rPr>
    </w:lvl>
    <w:lvl w:ilvl="3">
      <w:start w:val="0"/>
      <w:numFmt w:val="bullet"/>
      <w:lvlText w:val="•"/>
      <w:lvlJc w:val="left"/>
      <w:pPr>
        <w:ind w:left="4216" w:hanging="361"/>
      </w:pPr>
      <w:rPr>
        <w:rFonts w:hint="default"/>
        <w:lang w:val="en-gb" w:eastAsia="en-gb" w:bidi="en-gb"/>
      </w:rPr>
    </w:lvl>
    <w:lvl w:ilvl="4">
      <w:start w:val="0"/>
      <w:numFmt w:val="bullet"/>
      <w:lvlText w:val="•"/>
      <w:lvlJc w:val="left"/>
      <w:pPr>
        <w:ind w:left="5315" w:hanging="361"/>
      </w:pPr>
      <w:rPr>
        <w:rFonts w:hint="default"/>
        <w:lang w:val="en-gb" w:eastAsia="en-gb" w:bidi="en-gb"/>
      </w:rPr>
    </w:lvl>
    <w:lvl w:ilvl="5">
      <w:start w:val="0"/>
      <w:numFmt w:val="bullet"/>
      <w:lvlText w:val="•"/>
      <w:lvlJc w:val="left"/>
      <w:pPr>
        <w:ind w:left="6413" w:hanging="361"/>
      </w:pPr>
      <w:rPr>
        <w:rFonts w:hint="default"/>
        <w:lang w:val="en-gb" w:eastAsia="en-gb" w:bidi="en-gb"/>
      </w:rPr>
    </w:lvl>
    <w:lvl w:ilvl="6">
      <w:start w:val="0"/>
      <w:numFmt w:val="bullet"/>
      <w:lvlText w:val="•"/>
      <w:lvlJc w:val="left"/>
      <w:pPr>
        <w:ind w:left="7511" w:hanging="361"/>
      </w:pPr>
      <w:rPr>
        <w:rFonts w:hint="default"/>
        <w:lang w:val="en-gb" w:eastAsia="en-gb" w:bidi="en-gb"/>
      </w:rPr>
    </w:lvl>
    <w:lvl w:ilvl="7">
      <w:start w:val="0"/>
      <w:numFmt w:val="bullet"/>
      <w:lvlText w:val="•"/>
      <w:lvlJc w:val="left"/>
      <w:pPr>
        <w:ind w:left="8610" w:hanging="361"/>
      </w:pPr>
      <w:rPr>
        <w:rFonts w:hint="default"/>
        <w:lang w:val="en-gb" w:eastAsia="en-gb" w:bidi="en-gb"/>
      </w:rPr>
    </w:lvl>
    <w:lvl w:ilvl="8">
      <w:start w:val="0"/>
      <w:numFmt w:val="bullet"/>
      <w:lvlText w:val="•"/>
      <w:lvlJc w:val="left"/>
      <w:pPr>
        <w:ind w:left="9708" w:hanging="361"/>
      </w:pPr>
      <w:rPr>
        <w:rFonts w:hint="default"/>
        <w:lang w:val="en-gb" w:eastAsia="en-gb" w:bidi="en-gb"/>
      </w:rPr>
    </w:lvl>
  </w:abstractNum>
  <w:abstractNum w:abstractNumId="64">
    <w:multiLevelType w:val="hybridMultilevel"/>
    <w:lvl w:ilvl="0">
      <w:start w:val="1"/>
      <w:numFmt w:val="decimal"/>
      <w:lvlText w:val="%1."/>
      <w:lvlJc w:val="left"/>
      <w:pPr>
        <w:ind w:left="1658" w:hanging="361"/>
        <w:jc w:val="left"/>
      </w:pPr>
      <w:rPr>
        <w:rFonts w:hint="default" w:ascii="Calibri" w:hAnsi="Calibri" w:eastAsia="Calibri" w:cs="Calibri"/>
        <w:w w:val="100"/>
        <w:sz w:val="22"/>
        <w:szCs w:val="22"/>
        <w:lang w:val="en-gb" w:eastAsia="en-gb" w:bidi="en-gb"/>
      </w:rPr>
    </w:lvl>
    <w:lvl w:ilvl="1">
      <w:start w:val="0"/>
      <w:numFmt w:val="bullet"/>
      <w:lvlText w:val="•"/>
      <w:lvlJc w:val="left"/>
      <w:pPr>
        <w:ind w:left="2018" w:hanging="360"/>
      </w:pPr>
      <w:rPr>
        <w:rFonts w:hint="default" w:ascii="Calibri" w:hAnsi="Calibri" w:eastAsia="Calibri" w:cs="Calibri"/>
        <w:w w:val="100"/>
        <w:sz w:val="22"/>
        <w:szCs w:val="22"/>
        <w:lang w:val="en-gb" w:eastAsia="en-gb" w:bidi="en-gb"/>
      </w:rPr>
    </w:lvl>
    <w:lvl w:ilvl="2">
      <w:start w:val="0"/>
      <w:numFmt w:val="bullet"/>
      <w:lvlText w:val="•"/>
      <w:lvlJc w:val="left"/>
      <w:pPr>
        <w:ind w:left="3118" w:hanging="360"/>
      </w:pPr>
      <w:rPr>
        <w:rFonts w:hint="default"/>
        <w:lang w:val="en-gb" w:eastAsia="en-gb" w:bidi="en-gb"/>
      </w:rPr>
    </w:lvl>
    <w:lvl w:ilvl="3">
      <w:start w:val="0"/>
      <w:numFmt w:val="bullet"/>
      <w:lvlText w:val="•"/>
      <w:lvlJc w:val="left"/>
      <w:pPr>
        <w:ind w:left="4216" w:hanging="360"/>
      </w:pPr>
      <w:rPr>
        <w:rFonts w:hint="default"/>
        <w:lang w:val="en-gb" w:eastAsia="en-gb" w:bidi="en-gb"/>
      </w:rPr>
    </w:lvl>
    <w:lvl w:ilvl="4">
      <w:start w:val="0"/>
      <w:numFmt w:val="bullet"/>
      <w:lvlText w:val="•"/>
      <w:lvlJc w:val="left"/>
      <w:pPr>
        <w:ind w:left="5315" w:hanging="360"/>
      </w:pPr>
      <w:rPr>
        <w:rFonts w:hint="default"/>
        <w:lang w:val="en-gb" w:eastAsia="en-gb" w:bidi="en-gb"/>
      </w:rPr>
    </w:lvl>
    <w:lvl w:ilvl="5">
      <w:start w:val="0"/>
      <w:numFmt w:val="bullet"/>
      <w:lvlText w:val="•"/>
      <w:lvlJc w:val="left"/>
      <w:pPr>
        <w:ind w:left="6413" w:hanging="360"/>
      </w:pPr>
      <w:rPr>
        <w:rFonts w:hint="default"/>
        <w:lang w:val="en-gb" w:eastAsia="en-gb" w:bidi="en-gb"/>
      </w:rPr>
    </w:lvl>
    <w:lvl w:ilvl="6">
      <w:start w:val="0"/>
      <w:numFmt w:val="bullet"/>
      <w:lvlText w:val="•"/>
      <w:lvlJc w:val="left"/>
      <w:pPr>
        <w:ind w:left="7511" w:hanging="360"/>
      </w:pPr>
      <w:rPr>
        <w:rFonts w:hint="default"/>
        <w:lang w:val="en-gb" w:eastAsia="en-gb" w:bidi="en-gb"/>
      </w:rPr>
    </w:lvl>
    <w:lvl w:ilvl="7">
      <w:start w:val="0"/>
      <w:numFmt w:val="bullet"/>
      <w:lvlText w:val="•"/>
      <w:lvlJc w:val="left"/>
      <w:pPr>
        <w:ind w:left="8610" w:hanging="360"/>
      </w:pPr>
      <w:rPr>
        <w:rFonts w:hint="default"/>
        <w:lang w:val="en-gb" w:eastAsia="en-gb" w:bidi="en-gb"/>
      </w:rPr>
    </w:lvl>
    <w:lvl w:ilvl="8">
      <w:start w:val="0"/>
      <w:numFmt w:val="bullet"/>
      <w:lvlText w:val="•"/>
      <w:lvlJc w:val="left"/>
      <w:pPr>
        <w:ind w:left="9708" w:hanging="360"/>
      </w:pPr>
      <w:rPr>
        <w:rFonts w:hint="default"/>
        <w:lang w:val="en-gb" w:eastAsia="en-gb" w:bidi="en-gb"/>
      </w:rPr>
    </w:lvl>
  </w:abstractNum>
  <w:abstractNum w:abstractNumId="63">
    <w:multiLevelType w:val="hybridMultilevel"/>
    <w:lvl w:ilvl="0">
      <w:start w:val="1"/>
      <w:numFmt w:val="decimal"/>
      <w:lvlText w:val="(%1)"/>
      <w:lvlJc w:val="left"/>
      <w:pPr>
        <w:ind w:left="194"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394" w:hanging="173"/>
      </w:pPr>
      <w:rPr>
        <w:rFonts w:hint="default"/>
        <w:lang w:val="en-gb" w:eastAsia="en-gb" w:bidi="en-gb"/>
      </w:rPr>
    </w:lvl>
    <w:lvl w:ilvl="2">
      <w:start w:val="0"/>
      <w:numFmt w:val="bullet"/>
      <w:lvlText w:val="•"/>
      <w:lvlJc w:val="left"/>
      <w:pPr>
        <w:ind w:left="588" w:hanging="173"/>
      </w:pPr>
      <w:rPr>
        <w:rFonts w:hint="default"/>
        <w:lang w:val="en-gb" w:eastAsia="en-gb" w:bidi="en-gb"/>
      </w:rPr>
    </w:lvl>
    <w:lvl w:ilvl="3">
      <w:start w:val="0"/>
      <w:numFmt w:val="bullet"/>
      <w:lvlText w:val="•"/>
      <w:lvlJc w:val="left"/>
      <w:pPr>
        <w:ind w:left="782" w:hanging="173"/>
      </w:pPr>
      <w:rPr>
        <w:rFonts w:hint="default"/>
        <w:lang w:val="en-gb" w:eastAsia="en-gb" w:bidi="en-gb"/>
      </w:rPr>
    </w:lvl>
    <w:lvl w:ilvl="4">
      <w:start w:val="0"/>
      <w:numFmt w:val="bullet"/>
      <w:lvlText w:val="•"/>
      <w:lvlJc w:val="left"/>
      <w:pPr>
        <w:ind w:left="976" w:hanging="173"/>
      </w:pPr>
      <w:rPr>
        <w:rFonts w:hint="default"/>
        <w:lang w:val="en-gb" w:eastAsia="en-gb" w:bidi="en-gb"/>
      </w:rPr>
    </w:lvl>
    <w:lvl w:ilvl="5">
      <w:start w:val="0"/>
      <w:numFmt w:val="bullet"/>
      <w:lvlText w:val="•"/>
      <w:lvlJc w:val="left"/>
      <w:pPr>
        <w:ind w:left="1171" w:hanging="173"/>
      </w:pPr>
      <w:rPr>
        <w:rFonts w:hint="default"/>
        <w:lang w:val="en-gb" w:eastAsia="en-gb" w:bidi="en-gb"/>
      </w:rPr>
    </w:lvl>
    <w:lvl w:ilvl="6">
      <w:start w:val="0"/>
      <w:numFmt w:val="bullet"/>
      <w:lvlText w:val="•"/>
      <w:lvlJc w:val="left"/>
      <w:pPr>
        <w:ind w:left="1365" w:hanging="173"/>
      </w:pPr>
      <w:rPr>
        <w:rFonts w:hint="default"/>
        <w:lang w:val="en-gb" w:eastAsia="en-gb" w:bidi="en-gb"/>
      </w:rPr>
    </w:lvl>
    <w:lvl w:ilvl="7">
      <w:start w:val="0"/>
      <w:numFmt w:val="bullet"/>
      <w:lvlText w:val="•"/>
      <w:lvlJc w:val="left"/>
      <w:pPr>
        <w:ind w:left="1559" w:hanging="173"/>
      </w:pPr>
      <w:rPr>
        <w:rFonts w:hint="default"/>
        <w:lang w:val="en-gb" w:eastAsia="en-gb" w:bidi="en-gb"/>
      </w:rPr>
    </w:lvl>
    <w:lvl w:ilvl="8">
      <w:start w:val="0"/>
      <w:numFmt w:val="bullet"/>
      <w:lvlText w:val="•"/>
      <w:lvlJc w:val="left"/>
      <w:pPr>
        <w:ind w:left="1753" w:hanging="173"/>
      </w:pPr>
      <w:rPr>
        <w:rFonts w:hint="default"/>
        <w:lang w:val="en-gb" w:eastAsia="en-gb" w:bidi="en-gb"/>
      </w:rPr>
    </w:lvl>
  </w:abstractNum>
  <w:abstractNum w:abstractNumId="62">
    <w:multiLevelType w:val="hybridMultilevel"/>
    <w:lvl w:ilvl="0">
      <w:start w:val="1"/>
      <w:numFmt w:val="decimal"/>
      <w:lvlText w:val="(%1)"/>
      <w:lvlJc w:val="left"/>
      <w:pPr>
        <w:ind w:left="194"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394" w:hanging="173"/>
      </w:pPr>
      <w:rPr>
        <w:rFonts w:hint="default"/>
        <w:lang w:val="en-gb" w:eastAsia="en-gb" w:bidi="en-gb"/>
      </w:rPr>
    </w:lvl>
    <w:lvl w:ilvl="2">
      <w:start w:val="0"/>
      <w:numFmt w:val="bullet"/>
      <w:lvlText w:val="•"/>
      <w:lvlJc w:val="left"/>
      <w:pPr>
        <w:ind w:left="588" w:hanging="173"/>
      </w:pPr>
      <w:rPr>
        <w:rFonts w:hint="default"/>
        <w:lang w:val="en-gb" w:eastAsia="en-gb" w:bidi="en-gb"/>
      </w:rPr>
    </w:lvl>
    <w:lvl w:ilvl="3">
      <w:start w:val="0"/>
      <w:numFmt w:val="bullet"/>
      <w:lvlText w:val="•"/>
      <w:lvlJc w:val="left"/>
      <w:pPr>
        <w:ind w:left="782" w:hanging="173"/>
      </w:pPr>
      <w:rPr>
        <w:rFonts w:hint="default"/>
        <w:lang w:val="en-gb" w:eastAsia="en-gb" w:bidi="en-gb"/>
      </w:rPr>
    </w:lvl>
    <w:lvl w:ilvl="4">
      <w:start w:val="0"/>
      <w:numFmt w:val="bullet"/>
      <w:lvlText w:val="•"/>
      <w:lvlJc w:val="left"/>
      <w:pPr>
        <w:ind w:left="976" w:hanging="173"/>
      </w:pPr>
      <w:rPr>
        <w:rFonts w:hint="default"/>
        <w:lang w:val="en-gb" w:eastAsia="en-gb" w:bidi="en-gb"/>
      </w:rPr>
    </w:lvl>
    <w:lvl w:ilvl="5">
      <w:start w:val="0"/>
      <w:numFmt w:val="bullet"/>
      <w:lvlText w:val="•"/>
      <w:lvlJc w:val="left"/>
      <w:pPr>
        <w:ind w:left="1171" w:hanging="173"/>
      </w:pPr>
      <w:rPr>
        <w:rFonts w:hint="default"/>
        <w:lang w:val="en-gb" w:eastAsia="en-gb" w:bidi="en-gb"/>
      </w:rPr>
    </w:lvl>
    <w:lvl w:ilvl="6">
      <w:start w:val="0"/>
      <w:numFmt w:val="bullet"/>
      <w:lvlText w:val="•"/>
      <w:lvlJc w:val="left"/>
      <w:pPr>
        <w:ind w:left="1365" w:hanging="173"/>
      </w:pPr>
      <w:rPr>
        <w:rFonts w:hint="default"/>
        <w:lang w:val="en-gb" w:eastAsia="en-gb" w:bidi="en-gb"/>
      </w:rPr>
    </w:lvl>
    <w:lvl w:ilvl="7">
      <w:start w:val="0"/>
      <w:numFmt w:val="bullet"/>
      <w:lvlText w:val="•"/>
      <w:lvlJc w:val="left"/>
      <w:pPr>
        <w:ind w:left="1559" w:hanging="173"/>
      </w:pPr>
      <w:rPr>
        <w:rFonts w:hint="default"/>
        <w:lang w:val="en-gb" w:eastAsia="en-gb" w:bidi="en-gb"/>
      </w:rPr>
    </w:lvl>
    <w:lvl w:ilvl="8">
      <w:start w:val="0"/>
      <w:numFmt w:val="bullet"/>
      <w:lvlText w:val="•"/>
      <w:lvlJc w:val="left"/>
      <w:pPr>
        <w:ind w:left="1753" w:hanging="173"/>
      </w:pPr>
      <w:rPr>
        <w:rFonts w:hint="default"/>
        <w:lang w:val="en-gb" w:eastAsia="en-gb" w:bidi="en-gb"/>
      </w:rPr>
    </w:lvl>
  </w:abstractNum>
  <w:abstractNum w:abstractNumId="61">
    <w:multiLevelType w:val="hybridMultilevel"/>
    <w:lvl w:ilvl="0">
      <w:start w:val="1"/>
      <w:numFmt w:val="decimal"/>
      <w:lvlText w:val="(%1)"/>
      <w:lvlJc w:val="left"/>
      <w:pPr>
        <w:ind w:left="194"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394" w:hanging="173"/>
      </w:pPr>
      <w:rPr>
        <w:rFonts w:hint="default"/>
        <w:lang w:val="en-gb" w:eastAsia="en-gb" w:bidi="en-gb"/>
      </w:rPr>
    </w:lvl>
    <w:lvl w:ilvl="2">
      <w:start w:val="0"/>
      <w:numFmt w:val="bullet"/>
      <w:lvlText w:val="•"/>
      <w:lvlJc w:val="left"/>
      <w:pPr>
        <w:ind w:left="588" w:hanging="173"/>
      </w:pPr>
      <w:rPr>
        <w:rFonts w:hint="default"/>
        <w:lang w:val="en-gb" w:eastAsia="en-gb" w:bidi="en-gb"/>
      </w:rPr>
    </w:lvl>
    <w:lvl w:ilvl="3">
      <w:start w:val="0"/>
      <w:numFmt w:val="bullet"/>
      <w:lvlText w:val="•"/>
      <w:lvlJc w:val="left"/>
      <w:pPr>
        <w:ind w:left="782" w:hanging="173"/>
      </w:pPr>
      <w:rPr>
        <w:rFonts w:hint="default"/>
        <w:lang w:val="en-gb" w:eastAsia="en-gb" w:bidi="en-gb"/>
      </w:rPr>
    </w:lvl>
    <w:lvl w:ilvl="4">
      <w:start w:val="0"/>
      <w:numFmt w:val="bullet"/>
      <w:lvlText w:val="•"/>
      <w:lvlJc w:val="left"/>
      <w:pPr>
        <w:ind w:left="976" w:hanging="173"/>
      </w:pPr>
      <w:rPr>
        <w:rFonts w:hint="default"/>
        <w:lang w:val="en-gb" w:eastAsia="en-gb" w:bidi="en-gb"/>
      </w:rPr>
    </w:lvl>
    <w:lvl w:ilvl="5">
      <w:start w:val="0"/>
      <w:numFmt w:val="bullet"/>
      <w:lvlText w:val="•"/>
      <w:lvlJc w:val="left"/>
      <w:pPr>
        <w:ind w:left="1171" w:hanging="173"/>
      </w:pPr>
      <w:rPr>
        <w:rFonts w:hint="default"/>
        <w:lang w:val="en-gb" w:eastAsia="en-gb" w:bidi="en-gb"/>
      </w:rPr>
    </w:lvl>
    <w:lvl w:ilvl="6">
      <w:start w:val="0"/>
      <w:numFmt w:val="bullet"/>
      <w:lvlText w:val="•"/>
      <w:lvlJc w:val="left"/>
      <w:pPr>
        <w:ind w:left="1365" w:hanging="173"/>
      </w:pPr>
      <w:rPr>
        <w:rFonts w:hint="default"/>
        <w:lang w:val="en-gb" w:eastAsia="en-gb" w:bidi="en-gb"/>
      </w:rPr>
    </w:lvl>
    <w:lvl w:ilvl="7">
      <w:start w:val="0"/>
      <w:numFmt w:val="bullet"/>
      <w:lvlText w:val="•"/>
      <w:lvlJc w:val="left"/>
      <w:pPr>
        <w:ind w:left="1559" w:hanging="173"/>
      </w:pPr>
      <w:rPr>
        <w:rFonts w:hint="default"/>
        <w:lang w:val="en-gb" w:eastAsia="en-gb" w:bidi="en-gb"/>
      </w:rPr>
    </w:lvl>
    <w:lvl w:ilvl="8">
      <w:start w:val="0"/>
      <w:numFmt w:val="bullet"/>
      <w:lvlText w:val="•"/>
      <w:lvlJc w:val="left"/>
      <w:pPr>
        <w:ind w:left="1753" w:hanging="173"/>
      </w:pPr>
      <w:rPr>
        <w:rFonts w:hint="default"/>
        <w:lang w:val="en-gb" w:eastAsia="en-gb" w:bidi="en-gb"/>
      </w:rPr>
    </w:lvl>
  </w:abstractNum>
  <w:abstractNum w:abstractNumId="60">
    <w:multiLevelType w:val="hybridMultilevel"/>
    <w:lvl w:ilvl="0">
      <w:start w:val="1"/>
      <w:numFmt w:val="decimal"/>
      <w:lvlText w:val="(%1)"/>
      <w:lvlJc w:val="left"/>
      <w:pPr>
        <w:ind w:left="21"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232" w:hanging="173"/>
      </w:pPr>
      <w:rPr>
        <w:rFonts w:hint="default"/>
        <w:lang w:val="en-gb" w:eastAsia="en-gb" w:bidi="en-gb"/>
      </w:rPr>
    </w:lvl>
    <w:lvl w:ilvl="2">
      <w:start w:val="0"/>
      <w:numFmt w:val="bullet"/>
      <w:lvlText w:val="•"/>
      <w:lvlJc w:val="left"/>
      <w:pPr>
        <w:ind w:left="444" w:hanging="173"/>
      </w:pPr>
      <w:rPr>
        <w:rFonts w:hint="default"/>
        <w:lang w:val="en-gb" w:eastAsia="en-gb" w:bidi="en-gb"/>
      </w:rPr>
    </w:lvl>
    <w:lvl w:ilvl="3">
      <w:start w:val="0"/>
      <w:numFmt w:val="bullet"/>
      <w:lvlText w:val="•"/>
      <w:lvlJc w:val="left"/>
      <w:pPr>
        <w:ind w:left="656" w:hanging="173"/>
      </w:pPr>
      <w:rPr>
        <w:rFonts w:hint="default"/>
        <w:lang w:val="en-gb" w:eastAsia="en-gb" w:bidi="en-gb"/>
      </w:rPr>
    </w:lvl>
    <w:lvl w:ilvl="4">
      <w:start w:val="0"/>
      <w:numFmt w:val="bullet"/>
      <w:lvlText w:val="•"/>
      <w:lvlJc w:val="left"/>
      <w:pPr>
        <w:ind w:left="868" w:hanging="173"/>
      </w:pPr>
      <w:rPr>
        <w:rFonts w:hint="default"/>
        <w:lang w:val="en-gb" w:eastAsia="en-gb" w:bidi="en-gb"/>
      </w:rPr>
    </w:lvl>
    <w:lvl w:ilvl="5">
      <w:start w:val="0"/>
      <w:numFmt w:val="bullet"/>
      <w:lvlText w:val="•"/>
      <w:lvlJc w:val="left"/>
      <w:pPr>
        <w:ind w:left="1081" w:hanging="173"/>
      </w:pPr>
      <w:rPr>
        <w:rFonts w:hint="default"/>
        <w:lang w:val="en-gb" w:eastAsia="en-gb" w:bidi="en-gb"/>
      </w:rPr>
    </w:lvl>
    <w:lvl w:ilvl="6">
      <w:start w:val="0"/>
      <w:numFmt w:val="bullet"/>
      <w:lvlText w:val="•"/>
      <w:lvlJc w:val="left"/>
      <w:pPr>
        <w:ind w:left="1293" w:hanging="173"/>
      </w:pPr>
      <w:rPr>
        <w:rFonts w:hint="default"/>
        <w:lang w:val="en-gb" w:eastAsia="en-gb" w:bidi="en-gb"/>
      </w:rPr>
    </w:lvl>
    <w:lvl w:ilvl="7">
      <w:start w:val="0"/>
      <w:numFmt w:val="bullet"/>
      <w:lvlText w:val="•"/>
      <w:lvlJc w:val="left"/>
      <w:pPr>
        <w:ind w:left="1505" w:hanging="173"/>
      </w:pPr>
      <w:rPr>
        <w:rFonts w:hint="default"/>
        <w:lang w:val="en-gb" w:eastAsia="en-gb" w:bidi="en-gb"/>
      </w:rPr>
    </w:lvl>
    <w:lvl w:ilvl="8">
      <w:start w:val="0"/>
      <w:numFmt w:val="bullet"/>
      <w:lvlText w:val="•"/>
      <w:lvlJc w:val="left"/>
      <w:pPr>
        <w:ind w:left="1717" w:hanging="173"/>
      </w:pPr>
      <w:rPr>
        <w:rFonts w:hint="default"/>
        <w:lang w:val="en-gb" w:eastAsia="en-gb" w:bidi="en-gb"/>
      </w:rPr>
    </w:lvl>
  </w:abstractNum>
  <w:abstractNum w:abstractNumId="59">
    <w:multiLevelType w:val="hybridMultilevel"/>
    <w:lvl w:ilvl="0">
      <w:start w:val="1"/>
      <w:numFmt w:val="decimal"/>
      <w:lvlText w:val="(%1)"/>
      <w:lvlJc w:val="left"/>
      <w:pPr>
        <w:ind w:left="194"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394" w:hanging="173"/>
      </w:pPr>
      <w:rPr>
        <w:rFonts w:hint="default"/>
        <w:lang w:val="en-gb" w:eastAsia="en-gb" w:bidi="en-gb"/>
      </w:rPr>
    </w:lvl>
    <w:lvl w:ilvl="2">
      <w:start w:val="0"/>
      <w:numFmt w:val="bullet"/>
      <w:lvlText w:val="•"/>
      <w:lvlJc w:val="left"/>
      <w:pPr>
        <w:ind w:left="588" w:hanging="173"/>
      </w:pPr>
      <w:rPr>
        <w:rFonts w:hint="default"/>
        <w:lang w:val="en-gb" w:eastAsia="en-gb" w:bidi="en-gb"/>
      </w:rPr>
    </w:lvl>
    <w:lvl w:ilvl="3">
      <w:start w:val="0"/>
      <w:numFmt w:val="bullet"/>
      <w:lvlText w:val="•"/>
      <w:lvlJc w:val="left"/>
      <w:pPr>
        <w:ind w:left="782" w:hanging="173"/>
      </w:pPr>
      <w:rPr>
        <w:rFonts w:hint="default"/>
        <w:lang w:val="en-gb" w:eastAsia="en-gb" w:bidi="en-gb"/>
      </w:rPr>
    </w:lvl>
    <w:lvl w:ilvl="4">
      <w:start w:val="0"/>
      <w:numFmt w:val="bullet"/>
      <w:lvlText w:val="•"/>
      <w:lvlJc w:val="left"/>
      <w:pPr>
        <w:ind w:left="976" w:hanging="173"/>
      </w:pPr>
      <w:rPr>
        <w:rFonts w:hint="default"/>
        <w:lang w:val="en-gb" w:eastAsia="en-gb" w:bidi="en-gb"/>
      </w:rPr>
    </w:lvl>
    <w:lvl w:ilvl="5">
      <w:start w:val="0"/>
      <w:numFmt w:val="bullet"/>
      <w:lvlText w:val="•"/>
      <w:lvlJc w:val="left"/>
      <w:pPr>
        <w:ind w:left="1171" w:hanging="173"/>
      </w:pPr>
      <w:rPr>
        <w:rFonts w:hint="default"/>
        <w:lang w:val="en-gb" w:eastAsia="en-gb" w:bidi="en-gb"/>
      </w:rPr>
    </w:lvl>
    <w:lvl w:ilvl="6">
      <w:start w:val="0"/>
      <w:numFmt w:val="bullet"/>
      <w:lvlText w:val="•"/>
      <w:lvlJc w:val="left"/>
      <w:pPr>
        <w:ind w:left="1365" w:hanging="173"/>
      </w:pPr>
      <w:rPr>
        <w:rFonts w:hint="default"/>
        <w:lang w:val="en-gb" w:eastAsia="en-gb" w:bidi="en-gb"/>
      </w:rPr>
    </w:lvl>
    <w:lvl w:ilvl="7">
      <w:start w:val="0"/>
      <w:numFmt w:val="bullet"/>
      <w:lvlText w:val="•"/>
      <w:lvlJc w:val="left"/>
      <w:pPr>
        <w:ind w:left="1559" w:hanging="173"/>
      </w:pPr>
      <w:rPr>
        <w:rFonts w:hint="default"/>
        <w:lang w:val="en-gb" w:eastAsia="en-gb" w:bidi="en-gb"/>
      </w:rPr>
    </w:lvl>
    <w:lvl w:ilvl="8">
      <w:start w:val="0"/>
      <w:numFmt w:val="bullet"/>
      <w:lvlText w:val="•"/>
      <w:lvlJc w:val="left"/>
      <w:pPr>
        <w:ind w:left="1753" w:hanging="173"/>
      </w:pPr>
      <w:rPr>
        <w:rFonts w:hint="default"/>
        <w:lang w:val="en-gb" w:eastAsia="en-gb" w:bidi="en-gb"/>
      </w:rPr>
    </w:lvl>
  </w:abstractNum>
  <w:abstractNum w:abstractNumId="58">
    <w:multiLevelType w:val="hybridMultilevel"/>
    <w:lvl w:ilvl="0">
      <w:start w:val="1"/>
      <w:numFmt w:val="decimal"/>
      <w:lvlText w:val="(%1)"/>
      <w:lvlJc w:val="left"/>
      <w:pPr>
        <w:ind w:left="194"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394" w:hanging="173"/>
      </w:pPr>
      <w:rPr>
        <w:rFonts w:hint="default"/>
        <w:lang w:val="en-gb" w:eastAsia="en-gb" w:bidi="en-gb"/>
      </w:rPr>
    </w:lvl>
    <w:lvl w:ilvl="2">
      <w:start w:val="0"/>
      <w:numFmt w:val="bullet"/>
      <w:lvlText w:val="•"/>
      <w:lvlJc w:val="left"/>
      <w:pPr>
        <w:ind w:left="588" w:hanging="173"/>
      </w:pPr>
      <w:rPr>
        <w:rFonts w:hint="default"/>
        <w:lang w:val="en-gb" w:eastAsia="en-gb" w:bidi="en-gb"/>
      </w:rPr>
    </w:lvl>
    <w:lvl w:ilvl="3">
      <w:start w:val="0"/>
      <w:numFmt w:val="bullet"/>
      <w:lvlText w:val="•"/>
      <w:lvlJc w:val="left"/>
      <w:pPr>
        <w:ind w:left="782" w:hanging="173"/>
      </w:pPr>
      <w:rPr>
        <w:rFonts w:hint="default"/>
        <w:lang w:val="en-gb" w:eastAsia="en-gb" w:bidi="en-gb"/>
      </w:rPr>
    </w:lvl>
    <w:lvl w:ilvl="4">
      <w:start w:val="0"/>
      <w:numFmt w:val="bullet"/>
      <w:lvlText w:val="•"/>
      <w:lvlJc w:val="left"/>
      <w:pPr>
        <w:ind w:left="976" w:hanging="173"/>
      </w:pPr>
      <w:rPr>
        <w:rFonts w:hint="default"/>
        <w:lang w:val="en-gb" w:eastAsia="en-gb" w:bidi="en-gb"/>
      </w:rPr>
    </w:lvl>
    <w:lvl w:ilvl="5">
      <w:start w:val="0"/>
      <w:numFmt w:val="bullet"/>
      <w:lvlText w:val="•"/>
      <w:lvlJc w:val="left"/>
      <w:pPr>
        <w:ind w:left="1171" w:hanging="173"/>
      </w:pPr>
      <w:rPr>
        <w:rFonts w:hint="default"/>
        <w:lang w:val="en-gb" w:eastAsia="en-gb" w:bidi="en-gb"/>
      </w:rPr>
    </w:lvl>
    <w:lvl w:ilvl="6">
      <w:start w:val="0"/>
      <w:numFmt w:val="bullet"/>
      <w:lvlText w:val="•"/>
      <w:lvlJc w:val="left"/>
      <w:pPr>
        <w:ind w:left="1365" w:hanging="173"/>
      </w:pPr>
      <w:rPr>
        <w:rFonts w:hint="default"/>
        <w:lang w:val="en-gb" w:eastAsia="en-gb" w:bidi="en-gb"/>
      </w:rPr>
    </w:lvl>
    <w:lvl w:ilvl="7">
      <w:start w:val="0"/>
      <w:numFmt w:val="bullet"/>
      <w:lvlText w:val="•"/>
      <w:lvlJc w:val="left"/>
      <w:pPr>
        <w:ind w:left="1559" w:hanging="173"/>
      </w:pPr>
      <w:rPr>
        <w:rFonts w:hint="default"/>
        <w:lang w:val="en-gb" w:eastAsia="en-gb" w:bidi="en-gb"/>
      </w:rPr>
    </w:lvl>
    <w:lvl w:ilvl="8">
      <w:start w:val="0"/>
      <w:numFmt w:val="bullet"/>
      <w:lvlText w:val="•"/>
      <w:lvlJc w:val="left"/>
      <w:pPr>
        <w:ind w:left="1753" w:hanging="173"/>
      </w:pPr>
      <w:rPr>
        <w:rFonts w:hint="default"/>
        <w:lang w:val="en-gb" w:eastAsia="en-gb" w:bidi="en-gb"/>
      </w:rPr>
    </w:lvl>
  </w:abstractNum>
  <w:abstractNum w:abstractNumId="57">
    <w:multiLevelType w:val="hybridMultilevel"/>
    <w:lvl w:ilvl="0">
      <w:start w:val="1"/>
      <w:numFmt w:val="decimal"/>
      <w:lvlText w:val="(%1)"/>
      <w:lvlJc w:val="left"/>
      <w:pPr>
        <w:ind w:left="194" w:hanging="173"/>
        <w:jc w:val="left"/>
      </w:pPr>
      <w:rPr>
        <w:rFonts w:hint="default" w:ascii="Calibri" w:hAnsi="Calibri" w:eastAsia="Calibri" w:cs="Calibri"/>
        <w:spacing w:val="-6"/>
        <w:w w:val="99"/>
        <w:sz w:val="13"/>
        <w:szCs w:val="13"/>
        <w:lang w:val="en-gb" w:eastAsia="en-gb" w:bidi="en-gb"/>
      </w:rPr>
    </w:lvl>
    <w:lvl w:ilvl="1">
      <w:start w:val="0"/>
      <w:numFmt w:val="bullet"/>
      <w:lvlText w:val="•"/>
      <w:lvlJc w:val="left"/>
      <w:pPr>
        <w:ind w:left="394" w:hanging="173"/>
      </w:pPr>
      <w:rPr>
        <w:rFonts w:hint="default"/>
        <w:lang w:val="en-gb" w:eastAsia="en-gb" w:bidi="en-gb"/>
      </w:rPr>
    </w:lvl>
    <w:lvl w:ilvl="2">
      <w:start w:val="0"/>
      <w:numFmt w:val="bullet"/>
      <w:lvlText w:val="•"/>
      <w:lvlJc w:val="left"/>
      <w:pPr>
        <w:ind w:left="588" w:hanging="173"/>
      </w:pPr>
      <w:rPr>
        <w:rFonts w:hint="default"/>
        <w:lang w:val="en-gb" w:eastAsia="en-gb" w:bidi="en-gb"/>
      </w:rPr>
    </w:lvl>
    <w:lvl w:ilvl="3">
      <w:start w:val="0"/>
      <w:numFmt w:val="bullet"/>
      <w:lvlText w:val="•"/>
      <w:lvlJc w:val="left"/>
      <w:pPr>
        <w:ind w:left="782" w:hanging="173"/>
      </w:pPr>
      <w:rPr>
        <w:rFonts w:hint="default"/>
        <w:lang w:val="en-gb" w:eastAsia="en-gb" w:bidi="en-gb"/>
      </w:rPr>
    </w:lvl>
    <w:lvl w:ilvl="4">
      <w:start w:val="0"/>
      <w:numFmt w:val="bullet"/>
      <w:lvlText w:val="•"/>
      <w:lvlJc w:val="left"/>
      <w:pPr>
        <w:ind w:left="976" w:hanging="173"/>
      </w:pPr>
      <w:rPr>
        <w:rFonts w:hint="default"/>
        <w:lang w:val="en-gb" w:eastAsia="en-gb" w:bidi="en-gb"/>
      </w:rPr>
    </w:lvl>
    <w:lvl w:ilvl="5">
      <w:start w:val="0"/>
      <w:numFmt w:val="bullet"/>
      <w:lvlText w:val="•"/>
      <w:lvlJc w:val="left"/>
      <w:pPr>
        <w:ind w:left="1171" w:hanging="173"/>
      </w:pPr>
      <w:rPr>
        <w:rFonts w:hint="default"/>
        <w:lang w:val="en-gb" w:eastAsia="en-gb" w:bidi="en-gb"/>
      </w:rPr>
    </w:lvl>
    <w:lvl w:ilvl="6">
      <w:start w:val="0"/>
      <w:numFmt w:val="bullet"/>
      <w:lvlText w:val="•"/>
      <w:lvlJc w:val="left"/>
      <w:pPr>
        <w:ind w:left="1365" w:hanging="173"/>
      </w:pPr>
      <w:rPr>
        <w:rFonts w:hint="default"/>
        <w:lang w:val="en-gb" w:eastAsia="en-gb" w:bidi="en-gb"/>
      </w:rPr>
    </w:lvl>
    <w:lvl w:ilvl="7">
      <w:start w:val="0"/>
      <w:numFmt w:val="bullet"/>
      <w:lvlText w:val="•"/>
      <w:lvlJc w:val="left"/>
      <w:pPr>
        <w:ind w:left="1559" w:hanging="173"/>
      </w:pPr>
      <w:rPr>
        <w:rFonts w:hint="default"/>
        <w:lang w:val="en-gb" w:eastAsia="en-gb" w:bidi="en-gb"/>
      </w:rPr>
    </w:lvl>
    <w:lvl w:ilvl="8">
      <w:start w:val="0"/>
      <w:numFmt w:val="bullet"/>
      <w:lvlText w:val="•"/>
      <w:lvlJc w:val="left"/>
      <w:pPr>
        <w:ind w:left="1753" w:hanging="173"/>
      </w:pPr>
      <w:rPr>
        <w:rFonts w:hint="default"/>
        <w:lang w:val="en-gb" w:eastAsia="en-gb" w:bidi="en-gb"/>
      </w:rPr>
    </w:lvl>
  </w:abstractNum>
  <w:abstractNum w:abstractNumId="56">
    <w:multiLevelType w:val="hybridMultilevel"/>
    <w:lvl w:ilvl="0">
      <w:start w:val="0"/>
      <w:numFmt w:val="bullet"/>
      <w:lvlText w:val=""/>
      <w:lvlJc w:val="left"/>
      <w:pPr>
        <w:ind w:left="1800" w:hanging="361"/>
      </w:pPr>
      <w:rPr>
        <w:rFonts w:hint="default" w:ascii="Symbol" w:hAnsi="Symbol" w:eastAsia="Symbol" w:cs="Symbol"/>
        <w:w w:val="100"/>
        <w:sz w:val="22"/>
        <w:szCs w:val="22"/>
        <w:lang w:val="en-gb" w:eastAsia="en-gb" w:bidi="en-gb"/>
      </w:rPr>
    </w:lvl>
    <w:lvl w:ilvl="1">
      <w:start w:val="0"/>
      <w:numFmt w:val="bullet"/>
      <w:lvlText w:val="•"/>
      <w:lvlJc w:val="left"/>
      <w:pPr>
        <w:ind w:left="2018" w:hanging="360"/>
      </w:pPr>
      <w:rPr>
        <w:rFonts w:hint="default" w:ascii="Calibri" w:hAnsi="Calibri" w:eastAsia="Calibri" w:cs="Calibri"/>
        <w:w w:val="100"/>
        <w:sz w:val="22"/>
        <w:szCs w:val="22"/>
        <w:lang w:val="en-gb" w:eastAsia="en-gb" w:bidi="en-gb"/>
      </w:rPr>
    </w:lvl>
    <w:lvl w:ilvl="2">
      <w:start w:val="0"/>
      <w:numFmt w:val="bullet"/>
      <w:lvlText w:val="•"/>
      <w:lvlJc w:val="left"/>
      <w:pPr>
        <w:ind w:left="3118" w:hanging="360"/>
      </w:pPr>
      <w:rPr>
        <w:rFonts w:hint="default"/>
        <w:lang w:val="en-gb" w:eastAsia="en-gb" w:bidi="en-gb"/>
      </w:rPr>
    </w:lvl>
    <w:lvl w:ilvl="3">
      <w:start w:val="0"/>
      <w:numFmt w:val="bullet"/>
      <w:lvlText w:val="•"/>
      <w:lvlJc w:val="left"/>
      <w:pPr>
        <w:ind w:left="4216" w:hanging="360"/>
      </w:pPr>
      <w:rPr>
        <w:rFonts w:hint="default"/>
        <w:lang w:val="en-gb" w:eastAsia="en-gb" w:bidi="en-gb"/>
      </w:rPr>
    </w:lvl>
    <w:lvl w:ilvl="4">
      <w:start w:val="0"/>
      <w:numFmt w:val="bullet"/>
      <w:lvlText w:val="•"/>
      <w:lvlJc w:val="left"/>
      <w:pPr>
        <w:ind w:left="5315" w:hanging="360"/>
      </w:pPr>
      <w:rPr>
        <w:rFonts w:hint="default"/>
        <w:lang w:val="en-gb" w:eastAsia="en-gb" w:bidi="en-gb"/>
      </w:rPr>
    </w:lvl>
    <w:lvl w:ilvl="5">
      <w:start w:val="0"/>
      <w:numFmt w:val="bullet"/>
      <w:lvlText w:val="•"/>
      <w:lvlJc w:val="left"/>
      <w:pPr>
        <w:ind w:left="6413" w:hanging="360"/>
      </w:pPr>
      <w:rPr>
        <w:rFonts w:hint="default"/>
        <w:lang w:val="en-gb" w:eastAsia="en-gb" w:bidi="en-gb"/>
      </w:rPr>
    </w:lvl>
    <w:lvl w:ilvl="6">
      <w:start w:val="0"/>
      <w:numFmt w:val="bullet"/>
      <w:lvlText w:val="•"/>
      <w:lvlJc w:val="left"/>
      <w:pPr>
        <w:ind w:left="7511" w:hanging="360"/>
      </w:pPr>
      <w:rPr>
        <w:rFonts w:hint="default"/>
        <w:lang w:val="en-gb" w:eastAsia="en-gb" w:bidi="en-gb"/>
      </w:rPr>
    </w:lvl>
    <w:lvl w:ilvl="7">
      <w:start w:val="0"/>
      <w:numFmt w:val="bullet"/>
      <w:lvlText w:val="•"/>
      <w:lvlJc w:val="left"/>
      <w:pPr>
        <w:ind w:left="8610" w:hanging="360"/>
      </w:pPr>
      <w:rPr>
        <w:rFonts w:hint="default"/>
        <w:lang w:val="en-gb" w:eastAsia="en-gb" w:bidi="en-gb"/>
      </w:rPr>
    </w:lvl>
    <w:lvl w:ilvl="8">
      <w:start w:val="0"/>
      <w:numFmt w:val="bullet"/>
      <w:lvlText w:val="•"/>
      <w:lvlJc w:val="left"/>
      <w:pPr>
        <w:ind w:left="9708" w:hanging="360"/>
      </w:pPr>
      <w:rPr>
        <w:rFonts w:hint="default"/>
        <w:lang w:val="en-gb" w:eastAsia="en-gb" w:bidi="en-gb"/>
      </w:rPr>
    </w:lvl>
  </w:abstractNum>
  <w:abstractNum w:abstractNumId="55">
    <w:multiLevelType w:val="hybridMultilevel"/>
    <w:lvl w:ilvl="0">
      <w:start w:val="0"/>
      <w:numFmt w:val="bullet"/>
      <w:lvlText w:val=""/>
      <w:lvlJc w:val="left"/>
      <w:pPr>
        <w:ind w:left="467" w:hanging="361"/>
      </w:pPr>
      <w:rPr>
        <w:rFonts w:hint="default" w:ascii="Symbol" w:hAnsi="Symbol" w:eastAsia="Symbol" w:cs="Symbol"/>
        <w:w w:val="100"/>
        <w:sz w:val="22"/>
        <w:szCs w:val="22"/>
        <w:lang w:val="en-gb" w:eastAsia="en-gb" w:bidi="en-gb"/>
      </w:rPr>
    </w:lvl>
    <w:lvl w:ilvl="1">
      <w:start w:val="0"/>
      <w:numFmt w:val="bullet"/>
      <w:lvlText w:val="•"/>
      <w:lvlJc w:val="left"/>
      <w:pPr>
        <w:ind w:left="1192" w:hanging="361"/>
      </w:pPr>
      <w:rPr>
        <w:rFonts w:hint="default"/>
        <w:lang w:val="en-gb" w:eastAsia="en-gb" w:bidi="en-gb"/>
      </w:rPr>
    </w:lvl>
    <w:lvl w:ilvl="2">
      <w:start w:val="0"/>
      <w:numFmt w:val="bullet"/>
      <w:lvlText w:val="•"/>
      <w:lvlJc w:val="left"/>
      <w:pPr>
        <w:ind w:left="1925" w:hanging="361"/>
      </w:pPr>
      <w:rPr>
        <w:rFonts w:hint="default"/>
        <w:lang w:val="en-gb" w:eastAsia="en-gb" w:bidi="en-gb"/>
      </w:rPr>
    </w:lvl>
    <w:lvl w:ilvl="3">
      <w:start w:val="0"/>
      <w:numFmt w:val="bullet"/>
      <w:lvlText w:val="•"/>
      <w:lvlJc w:val="left"/>
      <w:pPr>
        <w:ind w:left="2657" w:hanging="361"/>
      </w:pPr>
      <w:rPr>
        <w:rFonts w:hint="default"/>
        <w:lang w:val="en-gb" w:eastAsia="en-gb" w:bidi="en-gb"/>
      </w:rPr>
    </w:lvl>
    <w:lvl w:ilvl="4">
      <w:start w:val="0"/>
      <w:numFmt w:val="bullet"/>
      <w:lvlText w:val="•"/>
      <w:lvlJc w:val="left"/>
      <w:pPr>
        <w:ind w:left="3390" w:hanging="361"/>
      </w:pPr>
      <w:rPr>
        <w:rFonts w:hint="default"/>
        <w:lang w:val="en-gb" w:eastAsia="en-gb" w:bidi="en-gb"/>
      </w:rPr>
    </w:lvl>
    <w:lvl w:ilvl="5">
      <w:start w:val="0"/>
      <w:numFmt w:val="bullet"/>
      <w:lvlText w:val="•"/>
      <w:lvlJc w:val="left"/>
      <w:pPr>
        <w:ind w:left="4122" w:hanging="361"/>
      </w:pPr>
      <w:rPr>
        <w:rFonts w:hint="default"/>
        <w:lang w:val="en-gb" w:eastAsia="en-gb" w:bidi="en-gb"/>
      </w:rPr>
    </w:lvl>
    <w:lvl w:ilvl="6">
      <w:start w:val="0"/>
      <w:numFmt w:val="bullet"/>
      <w:lvlText w:val="•"/>
      <w:lvlJc w:val="left"/>
      <w:pPr>
        <w:ind w:left="4855" w:hanging="361"/>
      </w:pPr>
      <w:rPr>
        <w:rFonts w:hint="default"/>
        <w:lang w:val="en-gb" w:eastAsia="en-gb" w:bidi="en-gb"/>
      </w:rPr>
    </w:lvl>
    <w:lvl w:ilvl="7">
      <w:start w:val="0"/>
      <w:numFmt w:val="bullet"/>
      <w:lvlText w:val="•"/>
      <w:lvlJc w:val="left"/>
      <w:pPr>
        <w:ind w:left="5587" w:hanging="361"/>
      </w:pPr>
      <w:rPr>
        <w:rFonts w:hint="default"/>
        <w:lang w:val="en-gb" w:eastAsia="en-gb" w:bidi="en-gb"/>
      </w:rPr>
    </w:lvl>
    <w:lvl w:ilvl="8">
      <w:start w:val="0"/>
      <w:numFmt w:val="bullet"/>
      <w:lvlText w:val="•"/>
      <w:lvlJc w:val="left"/>
      <w:pPr>
        <w:ind w:left="6320" w:hanging="361"/>
      </w:pPr>
      <w:rPr>
        <w:rFonts w:hint="default"/>
        <w:lang w:val="en-gb" w:eastAsia="en-gb" w:bidi="en-gb"/>
      </w:rPr>
    </w:lvl>
  </w:abstractNum>
  <w:abstractNum w:abstractNumId="54">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53">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52">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51">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50">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9">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8">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7">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6">
    <w:multiLevelType w:val="hybridMultilevel"/>
    <w:lvl w:ilvl="0">
      <w:start w:val="0"/>
      <w:numFmt w:val="bullet"/>
      <w:lvlText w:val=""/>
      <w:lvlJc w:val="left"/>
      <w:pPr>
        <w:ind w:left="467" w:hanging="361"/>
      </w:pPr>
      <w:rPr>
        <w:rFonts w:hint="default" w:ascii="Symbol" w:hAnsi="Symbol" w:eastAsia="Symbol" w:cs="Symbol"/>
        <w:w w:val="100"/>
        <w:sz w:val="22"/>
        <w:szCs w:val="22"/>
        <w:lang w:val="en-gb" w:eastAsia="en-gb" w:bidi="en-gb"/>
      </w:rPr>
    </w:lvl>
    <w:lvl w:ilvl="1">
      <w:start w:val="0"/>
      <w:numFmt w:val="bullet"/>
      <w:lvlText w:val="•"/>
      <w:lvlJc w:val="left"/>
      <w:pPr>
        <w:ind w:left="1192" w:hanging="361"/>
      </w:pPr>
      <w:rPr>
        <w:rFonts w:hint="default"/>
        <w:lang w:val="en-gb" w:eastAsia="en-gb" w:bidi="en-gb"/>
      </w:rPr>
    </w:lvl>
    <w:lvl w:ilvl="2">
      <w:start w:val="0"/>
      <w:numFmt w:val="bullet"/>
      <w:lvlText w:val="•"/>
      <w:lvlJc w:val="left"/>
      <w:pPr>
        <w:ind w:left="1925" w:hanging="361"/>
      </w:pPr>
      <w:rPr>
        <w:rFonts w:hint="default"/>
        <w:lang w:val="en-gb" w:eastAsia="en-gb" w:bidi="en-gb"/>
      </w:rPr>
    </w:lvl>
    <w:lvl w:ilvl="3">
      <w:start w:val="0"/>
      <w:numFmt w:val="bullet"/>
      <w:lvlText w:val="•"/>
      <w:lvlJc w:val="left"/>
      <w:pPr>
        <w:ind w:left="2657" w:hanging="361"/>
      </w:pPr>
      <w:rPr>
        <w:rFonts w:hint="default"/>
        <w:lang w:val="en-gb" w:eastAsia="en-gb" w:bidi="en-gb"/>
      </w:rPr>
    </w:lvl>
    <w:lvl w:ilvl="4">
      <w:start w:val="0"/>
      <w:numFmt w:val="bullet"/>
      <w:lvlText w:val="•"/>
      <w:lvlJc w:val="left"/>
      <w:pPr>
        <w:ind w:left="3390" w:hanging="361"/>
      </w:pPr>
      <w:rPr>
        <w:rFonts w:hint="default"/>
        <w:lang w:val="en-gb" w:eastAsia="en-gb" w:bidi="en-gb"/>
      </w:rPr>
    </w:lvl>
    <w:lvl w:ilvl="5">
      <w:start w:val="0"/>
      <w:numFmt w:val="bullet"/>
      <w:lvlText w:val="•"/>
      <w:lvlJc w:val="left"/>
      <w:pPr>
        <w:ind w:left="4122" w:hanging="361"/>
      </w:pPr>
      <w:rPr>
        <w:rFonts w:hint="default"/>
        <w:lang w:val="en-gb" w:eastAsia="en-gb" w:bidi="en-gb"/>
      </w:rPr>
    </w:lvl>
    <w:lvl w:ilvl="6">
      <w:start w:val="0"/>
      <w:numFmt w:val="bullet"/>
      <w:lvlText w:val="•"/>
      <w:lvlJc w:val="left"/>
      <w:pPr>
        <w:ind w:left="4855" w:hanging="361"/>
      </w:pPr>
      <w:rPr>
        <w:rFonts w:hint="default"/>
        <w:lang w:val="en-gb" w:eastAsia="en-gb" w:bidi="en-gb"/>
      </w:rPr>
    </w:lvl>
    <w:lvl w:ilvl="7">
      <w:start w:val="0"/>
      <w:numFmt w:val="bullet"/>
      <w:lvlText w:val="•"/>
      <w:lvlJc w:val="left"/>
      <w:pPr>
        <w:ind w:left="5587" w:hanging="361"/>
      </w:pPr>
      <w:rPr>
        <w:rFonts w:hint="default"/>
        <w:lang w:val="en-gb" w:eastAsia="en-gb" w:bidi="en-gb"/>
      </w:rPr>
    </w:lvl>
    <w:lvl w:ilvl="8">
      <w:start w:val="0"/>
      <w:numFmt w:val="bullet"/>
      <w:lvlText w:val="•"/>
      <w:lvlJc w:val="left"/>
      <w:pPr>
        <w:ind w:left="6320" w:hanging="361"/>
      </w:pPr>
      <w:rPr>
        <w:rFonts w:hint="default"/>
        <w:lang w:val="en-gb" w:eastAsia="en-gb" w:bidi="en-gb"/>
      </w:rPr>
    </w:lvl>
  </w:abstractNum>
  <w:abstractNum w:abstractNumId="45">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4">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3">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2">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1">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0">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9">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8">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7">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6">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5">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4">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3">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2">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1">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30">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29">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28">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27">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26">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25">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24">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23">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22">
    <w:multiLevelType w:val="hybridMultilevel"/>
    <w:lvl w:ilvl="0">
      <w:start w:val="0"/>
      <w:numFmt w:val="bullet"/>
      <w:lvlText w:val=""/>
      <w:lvlJc w:val="left"/>
      <w:pPr>
        <w:ind w:left="468" w:hanging="361"/>
      </w:pPr>
      <w:rPr>
        <w:rFonts w:hint="default" w:ascii="Symbol" w:hAnsi="Symbol" w:eastAsia="Symbol" w:cs="Symbol"/>
        <w:w w:val="100"/>
        <w:sz w:val="22"/>
        <w:szCs w:val="22"/>
        <w:lang w:val="en-gb" w:eastAsia="en-gb" w:bidi="en-gb"/>
      </w:rPr>
    </w:lvl>
    <w:lvl w:ilvl="1">
      <w:start w:val="0"/>
      <w:numFmt w:val="bullet"/>
      <w:lvlText w:val="•"/>
      <w:lvlJc w:val="left"/>
      <w:pPr>
        <w:ind w:left="1189" w:hanging="361"/>
      </w:pPr>
      <w:rPr>
        <w:rFonts w:hint="default"/>
        <w:lang w:val="en-gb" w:eastAsia="en-gb" w:bidi="en-gb"/>
      </w:rPr>
    </w:lvl>
    <w:lvl w:ilvl="2">
      <w:start w:val="0"/>
      <w:numFmt w:val="bullet"/>
      <w:lvlText w:val="•"/>
      <w:lvlJc w:val="left"/>
      <w:pPr>
        <w:ind w:left="1919" w:hanging="361"/>
      </w:pPr>
      <w:rPr>
        <w:rFonts w:hint="default"/>
        <w:lang w:val="en-gb" w:eastAsia="en-gb" w:bidi="en-gb"/>
      </w:rPr>
    </w:lvl>
    <w:lvl w:ilvl="3">
      <w:start w:val="0"/>
      <w:numFmt w:val="bullet"/>
      <w:lvlText w:val="•"/>
      <w:lvlJc w:val="left"/>
      <w:pPr>
        <w:ind w:left="2649" w:hanging="361"/>
      </w:pPr>
      <w:rPr>
        <w:rFonts w:hint="default"/>
        <w:lang w:val="en-gb" w:eastAsia="en-gb" w:bidi="en-gb"/>
      </w:rPr>
    </w:lvl>
    <w:lvl w:ilvl="4">
      <w:start w:val="0"/>
      <w:numFmt w:val="bullet"/>
      <w:lvlText w:val="•"/>
      <w:lvlJc w:val="left"/>
      <w:pPr>
        <w:ind w:left="3379" w:hanging="361"/>
      </w:pPr>
      <w:rPr>
        <w:rFonts w:hint="default"/>
        <w:lang w:val="en-gb" w:eastAsia="en-gb" w:bidi="en-gb"/>
      </w:rPr>
    </w:lvl>
    <w:lvl w:ilvl="5">
      <w:start w:val="0"/>
      <w:numFmt w:val="bullet"/>
      <w:lvlText w:val="•"/>
      <w:lvlJc w:val="left"/>
      <w:pPr>
        <w:ind w:left="4109" w:hanging="361"/>
      </w:pPr>
      <w:rPr>
        <w:rFonts w:hint="default"/>
        <w:lang w:val="en-gb" w:eastAsia="en-gb" w:bidi="en-gb"/>
      </w:rPr>
    </w:lvl>
    <w:lvl w:ilvl="6">
      <w:start w:val="0"/>
      <w:numFmt w:val="bullet"/>
      <w:lvlText w:val="•"/>
      <w:lvlJc w:val="left"/>
      <w:pPr>
        <w:ind w:left="4839" w:hanging="361"/>
      </w:pPr>
      <w:rPr>
        <w:rFonts w:hint="default"/>
        <w:lang w:val="en-gb" w:eastAsia="en-gb" w:bidi="en-gb"/>
      </w:rPr>
    </w:lvl>
    <w:lvl w:ilvl="7">
      <w:start w:val="0"/>
      <w:numFmt w:val="bullet"/>
      <w:lvlText w:val="•"/>
      <w:lvlJc w:val="left"/>
      <w:pPr>
        <w:ind w:left="5569" w:hanging="361"/>
      </w:pPr>
      <w:rPr>
        <w:rFonts w:hint="default"/>
        <w:lang w:val="en-gb" w:eastAsia="en-gb" w:bidi="en-gb"/>
      </w:rPr>
    </w:lvl>
    <w:lvl w:ilvl="8">
      <w:start w:val="0"/>
      <w:numFmt w:val="bullet"/>
      <w:lvlText w:val="•"/>
      <w:lvlJc w:val="left"/>
      <w:pPr>
        <w:ind w:left="6299" w:hanging="361"/>
      </w:pPr>
      <w:rPr>
        <w:rFonts w:hint="default"/>
        <w:lang w:val="en-gb" w:eastAsia="en-gb" w:bidi="en-gb"/>
      </w:rPr>
    </w:lvl>
  </w:abstractNum>
  <w:abstractNum w:abstractNumId="21">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20">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9">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8">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7">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6">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5">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4">
    <w:multiLevelType w:val="hybridMultilevel"/>
    <w:lvl w:ilvl="0">
      <w:start w:val="0"/>
      <w:numFmt w:val="bullet"/>
      <w:lvlText w:val=""/>
      <w:lvlJc w:val="left"/>
      <w:pPr>
        <w:ind w:left="468" w:hanging="360"/>
      </w:pPr>
      <w:rPr>
        <w:rFonts w:hint="default" w:ascii="Symbol" w:hAnsi="Symbol" w:eastAsia="Symbol" w:cs="Symbol"/>
        <w:w w:val="100"/>
        <w:sz w:val="22"/>
        <w:szCs w:val="22"/>
        <w:lang w:val="en-gb" w:eastAsia="en-gb" w:bidi="en-gb"/>
      </w:rPr>
    </w:lvl>
    <w:lvl w:ilvl="1">
      <w:start w:val="0"/>
      <w:numFmt w:val="bullet"/>
      <w:lvlText w:val="•"/>
      <w:lvlJc w:val="left"/>
      <w:pPr>
        <w:ind w:left="1189" w:hanging="360"/>
      </w:pPr>
      <w:rPr>
        <w:rFonts w:hint="default"/>
        <w:lang w:val="en-gb" w:eastAsia="en-gb" w:bidi="en-gb"/>
      </w:rPr>
    </w:lvl>
    <w:lvl w:ilvl="2">
      <w:start w:val="0"/>
      <w:numFmt w:val="bullet"/>
      <w:lvlText w:val="•"/>
      <w:lvlJc w:val="left"/>
      <w:pPr>
        <w:ind w:left="1919" w:hanging="360"/>
      </w:pPr>
      <w:rPr>
        <w:rFonts w:hint="default"/>
        <w:lang w:val="en-gb" w:eastAsia="en-gb" w:bidi="en-gb"/>
      </w:rPr>
    </w:lvl>
    <w:lvl w:ilvl="3">
      <w:start w:val="0"/>
      <w:numFmt w:val="bullet"/>
      <w:lvlText w:val="•"/>
      <w:lvlJc w:val="left"/>
      <w:pPr>
        <w:ind w:left="2649" w:hanging="360"/>
      </w:pPr>
      <w:rPr>
        <w:rFonts w:hint="default"/>
        <w:lang w:val="en-gb" w:eastAsia="en-gb" w:bidi="en-gb"/>
      </w:rPr>
    </w:lvl>
    <w:lvl w:ilvl="4">
      <w:start w:val="0"/>
      <w:numFmt w:val="bullet"/>
      <w:lvlText w:val="•"/>
      <w:lvlJc w:val="left"/>
      <w:pPr>
        <w:ind w:left="3379" w:hanging="360"/>
      </w:pPr>
      <w:rPr>
        <w:rFonts w:hint="default"/>
        <w:lang w:val="en-gb" w:eastAsia="en-gb" w:bidi="en-gb"/>
      </w:rPr>
    </w:lvl>
    <w:lvl w:ilvl="5">
      <w:start w:val="0"/>
      <w:numFmt w:val="bullet"/>
      <w:lvlText w:val="•"/>
      <w:lvlJc w:val="left"/>
      <w:pPr>
        <w:ind w:left="4109" w:hanging="360"/>
      </w:pPr>
      <w:rPr>
        <w:rFonts w:hint="default"/>
        <w:lang w:val="en-gb" w:eastAsia="en-gb" w:bidi="en-gb"/>
      </w:rPr>
    </w:lvl>
    <w:lvl w:ilvl="6">
      <w:start w:val="0"/>
      <w:numFmt w:val="bullet"/>
      <w:lvlText w:val="•"/>
      <w:lvlJc w:val="left"/>
      <w:pPr>
        <w:ind w:left="4839" w:hanging="360"/>
      </w:pPr>
      <w:rPr>
        <w:rFonts w:hint="default"/>
        <w:lang w:val="en-gb" w:eastAsia="en-gb" w:bidi="en-gb"/>
      </w:rPr>
    </w:lvl>
    <w:lvl w:ilvl="7">
      <w:start w:val="0"/>
      <w:numFmt w:val="bullet"/>
      <w:lvlText w:val="•"/>
      <w:lvlJc w:val="left"/>
      <w:pPr>
        <w:ind w:left="5569" w:hanging="360"/>
      </w:pPr>
      <w:rPr>
        <w:rFonts w:hint="default"/>
        <w:lang w:val="en-gb" w:eastAsia="en-gb" w:bidi="en-gb"/>
      </w:rPr>
    </w:lvl>
    <w:lvl w:ilvl="8">
      <w:start w:val="0"/>
      <w:numFmt w:val="bullet"/>
      <w:lvlText w:val="•"/>
      <w:lvlJc w:val="left"/>
      <w:pPr>
        <w:ind w:left="6299" w:hanging="360"/>
      </w:pPr>
      <w:rPr>
        <w:rFonts w:hint="default"/>
        <w:lang w:val="en-gb" w:eastAsia="en-gb" w:bidi="en-gb"/>
      </w:rPr>
    </w:lvl>
  </w:abstractNum>
  <w:abstractNum w:abstractNumId="13">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12">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11">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10">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9">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8">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7">
    <w:multiLevelType w:val="hybridMultilevel"/>
    <w:lvl w:ilvl="0">
      <w:start w:val="0"/>
      <w:numFmt w:val="bullet"/>
      <w:lvlText w:val=""/>
      <w:lvlJc w:val="left"/>
      <w:pPr>
        <w:ind w:left="467" w:hanging="361"/>
      </w:pPr>
      <w:rPr>
        <w:rFonts w:hint="default" w:ascii="Symbol" w:hAnsi="Symbol" w:eastAsia="Symbol" w:cs="Symbol"/>
        <w:w w:val="100"/>
        <w:sz w:val="22"/>
        <w:szCs w:val="22"/>
        <w:lang w:val="en-gb" w:eastAsia="en-gb" w:bidi="en-gb"/>
      </w:rPr>
    </w:lvl>
    <w:lvl w:ilvl="1">
      <w:start w:val="0"/>
      <w:numFmt w:val="bullet"/>
      <w:lvlText w:val="•"/>
      <w:lvlJc w:val="left"/>
      <w:pPr>
        <w:ind w:left="1192" w:hanging="361"/>
      </w:pPr>
      <w:rPr>
        <w:rFonts w:hint="default"/>
        <w:lang w:val="en-gb" w:eastAsia="en-gb" w:bidi="en-gb"/>
      </w:rPr>
    </w:lvl>
    <w:lvl w:ilvl="2">
      <w:start w:val="0"/>
      <w:numFmt w:val="bullet"/>
      <w:lvlText w:val="•"/>
      <w:lvlJc w:val="left"/>
      <w:pPr>
        <w:ind w:left="1925" w:hanging="361"/>
      </w:pPr>
      <w:rPr>
        <w:rFonts w:hint="default"/>
        <w:lang w:val="en-gb" w:eastAsia="en-gb" w:bidi="en-gb"/>
      </w:rPr>
    </w:lvl>
    <w:lvl w:ilvl="3">
      <w:start w:val="0"/>
      <w:numFmt w:val="bullet"/>
      <w:lvlText w:val="•"/>
      <w:lvlJc w:val="left"/>
      <w:pPr>
        <w:ind w:left="2657" w:hanging="361"/>
      </w:pPr>
      <w:rPr>
        <w:rFonts w:hint="default"/>
        <w:lang w:val="en-gb" w:eastAsia="en-gb" w:bidi="en-gb"/>
      </w:rPr>
    </w:lvl>
    <w:lvl w:ilvl="4">
      <w:start w:val="0"/>
      <w:numFmt w:val="bullet"/>
      <w:lvlText w:val="•"/>
      <w:lvlJc w:val="left"/>
      <w:pPr>
        <w:ind w:left="3390" w:hanging="361"/>
      </w:pPr>
      <w:rPr>
        <w:rFonts w:hint="default"/>
        <w:lang w:val="en-gb" w:eastAsia="en-gb" w:bidi="en-gb"/>
      </w:rPr>
    </w:lvl>
    <w:lvl w:ilvl="5">
      <w:start w:val="0"/>
      <w:numFmt w:val="bullet"/>
      <w:lvlText w:val="•"/>
      <w:lvlJc w:val="left"/>
      <w:pPr>
        <w:ind w:left="4122" w:hanging="361"/>
      </w:pPr>
      <w:rPr>
        <w:rFonts w:hint="default"/>
        <w:lang w:val="en-gb" w:eastAsia="en-gb" w:bidi="en-gb"/>
      </w:rPr>
    </w:lvl>
    <w:lvl w:ilvl="6">
      <w:start w:val="0"/>
      <w:numFmt w:val="bullet"/>
      <w:lvlText w:val="•"/>
      <w:lvlJc w:val="left"/>
      <w:pPr>
        <w:ind w:left="4855" w:hanging="361"/>
      </w:pPr>
      <w:rPr>
        <w:rFonts w:hint="default"/>
        <w:lang w:val="en-gb" w:eastAsia="en-gb" w:bidi="en-gb"/>
      </w:rPr>
    </w:lvl>
    <w:lvl w:ilvl="7">
      <w:start w:val="0"/>
      <w:numFmt w:val="bullet"/>
      <w:lvlText w:val="•"/>
      <w:lvlJc w:val="left"/>
      <w:pPr>
        <w:ind w:left="5587" w:hanging="361"/>
      </w:pPr>
      <w:rPr>
        <w:rFonts w:hint="default"/>
        <w:lang w:val="en-gb" w:eastAsia="en-gb" w:bidi="en-gb"/>
      </w:rPr>
    </w:lvl>
    <w:lvl w:ilvl="8">
      <w:start w:val="0"/>
      <w:numFmt w:val="bullet"/>
      <w:lvlText w:val="•"/>
      <w:lvlJc w:val="left"/>
      <w:pPr>
        <w:ind w:left="6320" w:hanging="361"/>
      </w:pPr>
      <w:rPr>
        <w:rFonts w:hint="default"/>
        <w:lang w:val="en-gb" w:eastAsia="en-gb" w:bidi="en-gb"/>
      </w:rPr>
    </w:lvl>
  </w:abstractNum>
  <w:abstractNum w:abstractNumId="6">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5">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4">
    <w:multiLevelType w:val="hybridMultilevel"/>
    <w:lvl w:ilvl="0">
      <w:start w:val="0"/>
      <w:numFmt w:val="bullet"/>
      <w:lvlText w:val=""/>
      <w:lvlJc w:val="left"/>
      <w:pPr>
        <w:ind w:left="467" w:hanging="361"/>
      </w:pPr>
      <w:rPr>
        <w:rFonts w:hint="default" w:ascii="Symbol" w:hAnsi="Symbol" w:eastAsia="Symbol" w:cs="Symbol"/>
        <w:w w:val="100"/>
        <w:sz w:val="22"/>
        <w:szCs w:val="22"/>
        <w:lang w:val="en-gb" w:eastAsia="en-gb" w:bidi="en-gb"/>
      </w:rPr>
    </w:lvl>
    <w:lvl w:ilvl="1">
      <w:start w:val="0"/>
      <w:numFmt w:val="bullet"/>
      <w:lvlText w:val="•"/>
      <w:lvlJc w:val="left"/>
      <w:pPr>
        <w:ind w:left="1192" w:hanging="361"/>
      </w:pPr>
      <w:rPr>
        <w:rFonts w:hint="default"/>
        <w:lang w:val="en-gb" w:eastAsia="en-gb" w:bidi="en-gb"/>
      </w:rPr>
    </w:lvl>
    <w:lvl w:ilvl="2">
      <w:start w:val="0"/>
      <w:numFmt w:val="bullet"/>
      <w:lvlText w:val="•"/>
      <w:lvlJc w:val="left"/>
      <w:pPr>
        <w:ind w:left="1925" w:hanging="361"/>
      </w:pPr>
      <w:rPr>
        <w:rFonts w:hint="default"/>
        <w:lang w:val="en-gb" w:eastAsia="en-gb" w:bidi="en-gb"/>
      </w:rPr>
    </w:lvl>
    <w:lvl w:ilvl="3">
      <w:start w:val="0"/>
      <w:numFmt w:val="bullet"/>
      <w:lvlText w:val="•"/>
      <w:lvlJc w:val="left"/>
      <w:pPr>
        <w:ind w:left="2657" w:hanging="361"/>
      </w:pPr>
      <w:rPr>
        <w:rFonts w:hint="default"/>
        <w:lang w:val="en-gb" w:eastAsia="en-gb" w:bidi="en-gb"/>
      </w:rPr>
    </w:lvl>
    <w:lvl w:ilvl="4">
      <w:start w:val="0"/>
      <w:numFmt w:val="bullet"/>
      <w:lvlText w:val="•"/>
      <w:lvlJc w:val="left"/>
      <w:pPr>
        <w:ind w:left="3390" w:hanging="361"/>
      </w:pPr>
      <w:rPr>
        <w:rFonts w:hint="default"/>
        <w:lang w:val="en-gb" w:eastAsia="en-gb" w:bidi="en-gb"/>
      </w:rPr>
    </w:lvl>
    <w:lvl w:ilvl="5">
      <w:start w:val="0"/>
      <w:numFmt w:val="bullet"/>
      <w:lvlText w:val="•"/>
      <w:lvlJc w:val="left"/>
      <w:pPr>
        <w:ind w:left="4122" w:hanging="361"/>
      </w:pPr>
      <w:rPr>
        <w:rFonts w:hint="default"/>
        <w:lang w:val="en-gb" w:eastAsia="en-gb" w:bidi="en-gb"/>
      </w:rPr>
    </w:lvl>
    <w:lvl w:ilvl="6">
      <w:start w:val="0"/>
      <w:numFmt w:val="bullet"/>
      <w:lvlText w:val="•"/>
      <w:lvlJc w:val="left"/>
      <w:pPr>
        <w:ind w:left="4855" w:hanging="361"/>
      </w:pPr>
      <w:rPr>
        <w:rFonts w:hint="default"/>
        <w:lang w:val="en-gb" w:eastAsia="en-gb" w:bidi="en-gb"/>
      </w:rPr>
    </w:lvl>
    <w:lvl w:ilvl="7">
      <w:start w:val="0"/>
      <w:numFmt w:val="bullet"/>
      <w:lvlText w:val="•"/>
      <w:lvlJc w:val="left"/>
      <w:pPr>
        <w:ind w:left="5587" w:hanging="361"/>
      </w:pPr>
      <w:rPr>
        <w:rFonts w:hint="default"/>
        <w:lang w:val="en-gb" w:eastAsia="en-gb" w:bidi="en-gb"/>
      </w:rPr>
    </w:lvl>
    <w:lvl w:ilvl="8">
      <w:start w:val="0"/>
      <w:numFmt w:val="bullet"/>
      <w:lvlText w:val="•"/>
      <w:lvlJc w:val="left"/>
      <w:pPr>
        <w:ind w:left="6320" w:hanging="361"/>
      </w:pPr>
      <w:rPr>
        <w:rFonts w:hint="default"/>
        <w:lang w:val="en-gb" w:eastAsia="en-gb" w:bidi="en-gb"/>
      </w:rPr>
    </w:lvl>
  </w:abstractNum>
  <w:abstractNum w:abstractNumId="3">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2">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abstractNum w:abstractNumId="1">
    <w:multiLevelType w:val="hybridMultilevel"/>
    <w:lvl w:ilvl="0">
      <w:start w:val="0"/>
      <w:numFmt w:val="bullet"/>
      <w:lvlText w:val=""/>
      <w:lvlJc w:val="left"/>
      <w:pPr>
        <w:ind w:left="467" w:hanging="360"/>
      </w:pPr>
      <w:rPr>
        <w:rFonts w:hint="default" w:ascii="Symbol" w:hAnsi="Symbol" w:eastAsia="Symbol" w:cs="Symbol"/>
        <w:w w:val="100"/>
        <w:sz w:val="22"/>
        <w:szCs w:val="22"/>
        <w:lang w:val="en-gb" w:eastAsia="en-gb" w:bidi="en-gb"/>
      </w:rPr>
    </w:lvl>
    <w:lvl w:ilvl="1">
      <w:start w:val="0"/>
      <w:numFmt w:val="bullet"/>
      <w:lvlText w:val="•"/>
      <w:lvlJc w:val="left"/>
      <w:pPr>
        <w:ind w:left="1192" w:hanging="360"/>
      </w:pPr>
      <w:rPr>
        <w:rFonts w:hint="default"/>
        <w:lang w:val="en-gb" w:eastAsia="en-gb" w:bidi="en-gb"/>
      </w:rPr>
    </w:lvl>
    <w:lvl w:ilvl="2">
      <w:start w:val="0"/>
      <w:numFmt w:val="bullet"/>
      <w:lvlText w:val="•"/>
      <w:lvlJc w:val="left"/>
      <w:pPr>
        <w:ind w:left="1925" w:hanging="360"/>
      </w:pPr>
      <w:rPr>
        <w:rFonts w:hint="default"/>
        <w:lang w:val="en-gb" w:eastAsia="en-gb" w:bidi="en-gb"/>
      </w:rPr>
    </w:lvl>
    <w:lvl w:ilvl="3">
      <w:start w:val="0"/>
      <w:numFmt w:val="bullet"/>
      <w:lvlText w:val="•"/>
      <w:lvlJc w:val="left"/>
      <w:pPr>
        <w:ind w:left="2657" w:hanging="360"/>
      </w:pPr>
      <w:rPr>
        <w:rFonts w:hint="default"/>
        <w:lang w:val="en-gb" w:eastAsia="en-gb" w:bidi="en-gb"/>
      </w:rPr>
    </w:lvl>
    <w:lvl w:ilvl="4">
      <w:start w:val="0"/>
      <w:numFmt w:val="bullet"/>
      <w:lvlText w:val="•"/>
      <w:lvlJc w:val="left"/>
      <w:pPr>
        <w:ind w:left="3390" w:hanging="360"/>
      </w:pPr>
      <w:rPr>
        <w:rFonts w:hint="default"/>
        <w:lang w:val="en-gb" w:eastAsia="en-gb" w:bidi="en-gb"/>
      </w:rPr>
    </w:lvl>
    <w:lvl w:ilvl="5">
      <w:start w:val="0"/>
      <w:numFmt w:val="bullet"/>
      <w:lvlText w:val="•"/>
      <w:lvlJc w:val="left"/>
      <w:pPr>
        <w:ind w:left="4122" w:hanging="360"/>
      </w:pPr>
      <w:rPr>
        <w:rFonts w:hint="default"/>
        <w:lang w:val="en-gb" w:eastAsia="en-gb" w:bidi="en-gb"/>
      </w:rPr>
    </w:lvl>
    <w:lvl w:ilvl="6">
      <w:start w:val="0"/>
      <w:numFmt w:val="bullet"/>
      <w:lvlText w:val="•"/>
      <w:lvlJc w:val="left"/>
      <w:pPr>
        <w:ind w:left="4855" w:hanging="360"/>
      </w:pPr>
      <w:rPr>
        <w:rFonts w:hint="default"/>
        <w:lang w:val="en-gb" w:eastAsia="en-gb" w:bidi="en-gb"/>
      </w:rPr>
    </w:lvl>
    <w:lvl w:ilvl="7">
      <w:start w:val="0"/>
      <w:numFmt w:val="bullet"/>
      <w:lvlText w:val="•"/>
      <w:lvlJc w:val="left"/>
      <w:pPr>
        <w:ind w:left="5587" w:hanging="360"/>
      </w:pPr>
      <w:rPr>
        <w:rFonts w:hint="default"/>
        <w:lang w:val="en-gb" w:eastAsia="en-gb" w:bidi="en-gb"/>
      </w:rPr>
    </w:lvl>
    <w:lvl w:ilvl="8">
      <w:start w:val="0"/>
      <w:numFmt w:val="bullet"/>
      <w:lvlText w:val="•"/>
      <w:lvlJc w:val="left"/>
      <w:pPr>
        <w:ind w:left="6320" w:hanging="360"/>
      </w:pPr>
      <w:rPr>
        <w:rFonts w:hint="default"/>
        <w:lang w:val="en-gb" w:eastAsia="en-gb" w:bidi="en-gb"/>
      </w:rPr>
    </w:lvl>
  </w:abstractNum>
  <w:num w:numId="1">
    <w:abstractNumId w:val="0"/>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2"/>
      <w:szCs w:val="22"/>
      <w:lang w:val="en-gb" w:eastAsia="en-gb" w:bidi="en-gb"/>
    </w:rPr>
  </w:style>
  <w:style w:styleId="Heading1" w:type="paragraph">
    <w:name w:val="Heading 1"/>
    <w:basedOn w:val="Normal"/>
    <w:uiPriority w:val="1"/>
    <w:qFormat/>
    <w:pPr>
      <w:spacing w:before="181"/>
      <w:ind w:left="3042" w:right="3053"/>
      <w:outlineLvl w:val="1"/>
    </w:pPr>
    <w:rPr>
      <w:rFonts w:ascii="Myriad Pro" w:hAnsi="Myriad Pro" w:eastAsia="Myriad Pro" w:cs="Myriad Pro"/>
      <w:b/>
      <w:bCs/>
      <w:sz w:val="53"/>
      <w:szCs w:val="53"/>
      <w:lang w:val="en-gb" w:eastAsia="en-gb" w:bidi="en-gb"/>
    </w:rPr>
  </w:style>
  <w:style w:styleId="Heading2" w:type="paragraph">
    <w:name w:val="Heading 2"/>
    <w:basedOn w:val="Normal"/>
    <w:uiPriority w:val="1"/>
    <w:qFormat/>
    <w:pPr>
      <w:ind w:left="3742"/>
      <w:outlineLvl w:val="2"/>
    </w:pPr>
    <w:rPr>
      <w:rFonts w:ascii="Calibri" w:hAnsi="Calibri" w:eastAsia="Calibri" w:cs="Calibri"/>
      <w:sz w:val="35"/>
      <w:szCs w:val="35"/>
      <w:lang w:val="en-gb" w:eastAsia="en-gb" w:bidi="en-gb"/>
    </w:rPr>
  </w:style>
  <w:style w:styleId="Heading3" w:type="paragraph">
    <w:name w:val="Heading 3"/>
    <w:basedOn w:val="Normal"/>
    <w:uiPriority w:val="1"/>
    <w:qFormat/>
    <w:pPr>
      <w:ind w:left="1298"/>
      <w:outlineLvl w:val="3"/>
    </w:pPr>
    <w:rPr>
      <w:rFonts w:ascii="Calibri" w:hAnsi="Calibri" w:eastAsia="Calibri" w:cs="Calibri"/>
      <w:b/>
      <w:bCs/>
      <w:sz w:val="28"/>
      <w:szCs w:val="28"/>
      <w:lang w:val="en-gb" w:eastAsia="en-gb" w:bidi="en-gb"/>
    </w:rPr>
  </w:style>
  <w:style w:styleId="ListParagraph" w:type="paragraph">
    <w:name w:val="List Paragraph"/>
    <w:basedOn w:val="Normal"/>
    <w:uiPriority w:val="1"/>
    <w:qFormat/>
    <w:pPr>
      <w:ind w:left="2017" w:hanging="361"/>
    </w:pPr>
    <w:rPr>
      <w:rFonts w:ascii="Calibri" w:hAnsi="Calibri" w:eastAsia="Calibri" w:cs="Calibri"/>
      <w:lang w:val="en-gb" w:eastAsia="en-gb" w:bidi="en-gb"/>
    </w:rPr>
  </w:style>
  <w:style w:styleId="TableParagraph" w:type="paragraph">
    <w:name w:val="Table Paragraph"/>
    <w:basedOn w:val="Normal"/>
    <w:uiPriority w:val="1"/>
    <w:qFormat/>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image" Target="media/image9.jpeg"/><Relationship Id="rId15" Type="http://schemas.openxmlformats.org/officeDocument/2006/relationships/image" Target="media/image10.png"/><Relationship Id="rId16" Type="http://schemas.openxmlformats.org/officeDocument/2006/relationships/footer" Target="footer2.xml"/><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footer" Target="footer3.xml"/><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jpeg"/><Relationship Id="rId37" Type="http://schemas.openxmlformats.org/officeDocument/2006/relationships/footer" Target="footer4.xml"/><Relationship Id="rId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Clee, Terri</dc:creator>
  <dcterms:created xsi:type="dcterms:W3CDTF">2023-07-21T10:31:11Z</dcterms:created>
  <dcterms:modified xsi:type="dcterms:W3CDTF">2023-07-21T10:31:11Z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2023-06-06T00:00:00Z</vt:filetime>
  </property>
  <property fmtid="{D5CDD505-2E9C-101B-9397-08002B2CF9AE}" pid="3" name="Creator">
    <vt:lpwstr>Acrobat PDFMaker 20 for Word</vt:lpwstr>
  </property>
  <property fmtid="{D5CDD505-2E9C-101B-9397-08002B2CF9AE}" pid="4" name="LastSaved">
    <vt:filetime>2023-07-21T00:00:00Z</vt:filetime>
  </property>
</Properties>
</file>